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87"/>
        <w:gridCol w:w="2490"/>
        <w:gridCol w:w="1276"/>
        <w:gridCol w:w="21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621" w:type="dxa"/>
            <w:gridSpan w:val="5"/>
            <w:vMerge w:val="restart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fldChar w:fldCharType="begin"/>
            </w:r>
            <w:r>
              <w:instrText xml:space="preserve"> INCLUDEPICTURE "../Documents/Tencent Files/1531654529/Documents/Tencent%20Files/348135532/AppData/Local/Temp/Users/asus/AppData/Local/Temp/ksohtml/wps_clip_image-24368.png" \* MERGEFORMAT </w:instrText>
            </w:r>
            <w:r>
              <w:rPr>
                <w:rFonts w:hint="eastAsia" w:ascii="微软雅黑" w:hAnsi="微软雅黑" w:eastAsia="微软雅黑" w:cs="仿宋_GB2312"/>
                <w:szCs w:val="21"/>
              </w:rPr>
              <w:fldChar w:fldCharType="separate"/>
            </w:r>
            <w:r>
              <w:rPr>
                <w:rFonts w:hint="eastAsia" w:ascii="微软雅黑" w:hAnsi="微软雅黑" w:eastAsia="微软雅黑" w:cs="仿宋_GB2312"/>
                <w:szCs w:val="21"/>
              </w:rPr>
              <w:drawing>
                <wp:inline distT="0" distB="0" distL="114300" distR="114300">
                  <wp:extent cx="619760" cy="426085"/>
                  <wp:effectExtent l="0" t="0" r="508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仿宋_GB2312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 w:cs="仿宋_GB2312"/>
                <w:b/>
                <w:sz w:val="36"/>
                <w:szCs w:val="36"/>
              </w:rPr>
              <w:t>技术交底书</w:t>
            </w:r>
          </w:p>
        </w:tc>
        <w:tc>
          <w:tcPr>
            <w:tcW w:w="1701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表格编号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621" w:type="dxa"/>
            <w:gridSpan w:val="5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1311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29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项目名称</w:t>
            </w:r>
          </w:p>
        </w:tc>
        <w:tc>
          <w:tcPr>
            <w:tcW w:w="5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凤阳县体育中心工程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第 / 页</w:t>
            </w:r>
          </w:p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共 /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29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交底编号</w:t>
            </w:r>
          </w:p>
        </w:tc>
        <w:tc>
          <w:tcPr>
            <w:tcW w:w="5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Fytyzx-20170</w:t>
            </w: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-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29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工程名称</w:t>
            </w:r>
          </w:p>
        </w:tc>
        <w:tc>
          <w:tcPr>
            <w:tcW w:w="7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凤阳县体育中心工程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29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right="-107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设计文件图号</w:t>
            </w:r>
          </w:p>
        </w:tc>
        <w:tc>
          <w:tcPr>
            <w:tcW w:w="7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29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施工部位</w:t>
            </w:r>
          </w:p>
        </w:tc>
        <w:tc>
          <w:tcPr>
            <w:tcW w:w="7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室内排水管道及配件安装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29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交底日期</w:t>
            </w:r>
          </w:p>
        </w:tc>
        <w:tc>
          <w:tcPr>
            <w:tcW w:w="7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2017年</w:t>
            </w: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月</w:t>
            </w: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9322" w:type="dxa"/>
            <w:gridSpan w:val="6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技术交底内容：</w:t>
            </w:r>
          </w:p>
          <w:p>
            <w:pPr>
              <w:autoSpaceDN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、技术交底范围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体育中心工程</w:t>
            </w: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室内排水管道安装，包含体育场、体育馆、全民健身馆、游泳馆、公测、门卫。</w:t>
            </w:r>
          </w:p>
          <w:p>
            <w:pPr>
              <w:autoSpaceDN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、设计情况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2.1。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2.2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管道安装施工依据：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（1）工程设计说明及楼层施工图纸。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（2）建筑给水排水及采暖工程验收规范(GB 50242-2000)。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（3）</w:t>
            </w: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相关图集：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13S409</w:t>
            </w:r>
            <w:r>
              <w:rPr>
                <w:rFonts w:hint="eastAsia" w:ascii="微软雅黑" w:hAnsi="微软雅黑" w:eastAsia="微软雅黑" w:cs="仿宋_GB2312"/>
                <w:sz w:val="24"/>
                <w:lang w:eastAsia="zh-CN"/>
              </w:rPr>
              <w:t>《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建筑生活排水柔性接口铸铁管道与钢塑复合管道安装</w:t>
            </w:r>
            <w:r>
              <w:rPr>
                <w:rFonts w:hint="eastAsia" w:ascii="微软雅黑" w:hAnsi="微软雅黑" w:eastAsia="微软雅黑" w:cs="仿宋_GB2312"/>
                <w:sz w:val="24"/>
                <w:lang w:eastAsia="zh-CN"/>
              </w:rPr>
              <w:t>》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仿宋_GB2312"/>
                <w:sz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材料标准：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CJ/T 178-2013</w:t>
            </w:r>
            <w:r>
              <w:rPr>
                <w:rFonts w:hint="eastAsia" w:ascii="微软雅黑" w:hAnsi="微软雅黑" w:eastAsia="微软雅黑" w:cs="仿宋_GB2312"/>
                <w:sz w:val="24"/>
                <w:lang w:eastAsia="zh-CN"/>
              </w:rPr>
              <w:t>《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建筑排水用柔性接口承插式铸铁管及管件</w:t>
            </w:r>
            <w:r>
              <w:rPr>
                <w:rFonts w:hint="eastAsia" w:ascii="微软雅黑" w:hAnsi="微软雅黑" w:eastAsia="微软雅黑" w:cs="仿宋_GB2312"/>
                <w:sz w:val="24"/>
                <w:lang w:eastAsia="zh-CN"/>
              </w:rPr>
              <w:t>》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 xml:space="preserve"> </w:t>
            </w:r>
            <w:bookmarkStart w:id="0" w:name="1"/>
            <w:bookmarkEnd w:id="0"/>
          </w:p>
          <w:p>
            <w:pPr>
              <w:autoSpaceDN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、开始施工的条件及施工准备工作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3.1人员：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最低标准：焊工3人、普工2人，焊工均需持证上岗。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3.2机具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机械：切割机、砂轮锯、卷尺、线锤、水准仪或红外线、毛巾、高梯、移动脚手架、等。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工具：管钳、压力钳、手锯、手锤、活扳手、链钳、捻凿、大锤、断管器等、管件挤压器、钢卷尺、水平尺、毛刷、棉布、小线、线坠等。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3.2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材料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3.2.1铸铁排水管及管件规格品种应符合设计要求。铸铁的管壁薄厚均匀，内外光滑整洁，无浮砂、包砂、粘砂，更不允许有砂眼、裂纹、飞刺和疙瘩。承插口的内外径及管件造型规矩，法兰接口平正光洁严密，地漏和返水弯的扣距必须一致，不得有偏扣、乱扣、方扣、等现象，并没有产品合格证书及检测报告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3.2.2青麻、油麻要整齐，不允许有腐朽现象。沥青漆、防锈漆调和漆等必须有出厂合格证。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3.2.3抗震柔性接口的铸铁管和管件、卡箍、螺栓、橡胶圈应使用同一厂家配套产品，并配有产品合格证书和检测报告。</w:t>
            </w:r>
          </w:p>
          <w:p>
            <w:pPr>
              <w:numPr>
                <w:ilvl w:val="0"/>
                <w:numId w:val="1"/>
              </w:num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b/>
                <w:bCs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选用管材外径厚度满足表3-2-1。</w:t>
            </w:r>
          </w:p>
          <w:tbl>
            <w:tblPr>
              <w:tblStyle w:val="8"/>
              <w:tblW w:w="9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35"/>
              <w:gridCol w:w="3035"/>
              <w:gridCol w:w="30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3035" w:type="dxa"/>
                </w:tcPr>
                <w:p>
                  <w:pPr>
                    <w:numPr>
                      <w:ilvl w:val="0"/>
                      <w:numId w:val="0"/>
                    </w:num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b/>
                      <w:bCs/>
                      <w:sz w:val="24"/>
                      <w:highlight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b/>
                      <w:bCs/>
                      <w:sz w:val="24"/>
                      <w:highlight w:val="none"/>
                      <w:vertAlign w:val="baseline"/>
                      <w:lang w:val="en-US" w:eastAsia="zh-CN"/>
                    </w:rPr>
                    <w:t>公称</w:t>
                  </w:r>
                </w:p>
              </w:tc>
              <w:tc>
                <w:tcPr>
                  <w:tcW w:w="3035" w:type="dxa"/>
                </w:tcPr>
                <w:p>
                  <w:pPr>
                    <w:numPr>
                      <w:ilvl w:val="0"/>
                      <w:numId w:val="0"/>
                    </w:num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b/>
                      <w:bCs/>
                      <w:sz w:val="24"/>
                      <w:highlight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b/>
                      <w:bCs/>
                      <w:sz w:val="24"/>
                      <w:highlight w:val="none"/>
                      <w:vertAlign w:val="baseline"/>
                      <w:lang w:val="en-US" w:eastAsia="zh-CN"/>
                    </w:rPr>
                    <w:t>外径(mm)</w:t>
                  </w:r>
                </w:p>
              </w:tc>
              <w:tc>
                <w:tcPr>
                  <w:tcW w:w="3036" w:type="dxa"/>
                </w:tcPr>
                <w:p>
                  <w:pPr>
                    <w:numPr>
                      <w:ilvl w:val="0"/>
                      <w:numId w:val="0"/>
                    </w:num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b/>
                      <w:bCs/>
                      <w:sz w:val="24"/>
                      <w:highlight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b/>
                      <w:bCs/>
                      <w:sz w:val="24"/>
                      <w:highlight w:val="none"/>
                      <w:vertAlign w:val="baseline"/>
                      <w:lang w:val="en-US" w:eastAsia="zh-CN"/>
                    </w:rPr>
                    <w:t>厚度（mm）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6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6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6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6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6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6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6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5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036" w:type="dxa"/>
                </w:tcPr>
                <w:p>
                  <w:pPr>
                    <w:autoSpaceDN w:val="0"/>
                    <w:jc w:val="center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sz w:val="24"/>
                <w:highlight w:val="none"/>
                <w:lang w:val="en-US" w:eastAsia="zh-CN"/>
              </w:rPr>
              <w:t>表3-2-1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3.4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作业条件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3.4.1施工图纸及其他技术文件齐全，认真熟悉图纸，根据施工方案决定的施工方法和技术交底的具体措施做好准备工作。参看有关专业设备图和装修建筑图，核对各种管道的坐标、标高是否有交叉，管道排列所用空间是否合理。有问题及时与设计和有关人员研究解决，办好变更洽商记录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3.4.2地下排水管道的铺设必须在基础墙达到或接近±0标高，房心土会回填到管底或稍高的高度，房心内沿管线位置无堆积物，且管道穿过建筑基础处，已按设计要求和施工规范预留好的管洞或套管。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3.4.3设备层内排水管道的敷设，应在设备层内模板拆除清理后进行安装。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3.4.4暗装管道（包括设备层、竖井、吊顶内的管道）首先应核对各种管道的标高、坐标的排列有无矛盾。预留孔洞、预埋配件已配合完成。土建模板已拆除，操作场地清理干净，安装高度超过3.5米应搭好架子。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3.4.5室内明装管道要与结构进度相隔两层的条件下进行安装。室内地平线应弹好，粗装修抹灰工程已完成，安装场地无障碍物。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</w:p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</w:rPr>
            </w:pPr>
          </w:p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</w:rPr>
            </w:pPr>
          </w:p>
          <w:p>
            <w:pPr>
              <w:autoSpaceDN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、施工工艺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4.1工艺流程：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object>
                <v:shape id="_x0000_i1026" o:spt="75" type="#_x0000_t75" style="height:55.65pt;width:262.3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Visio.Drawing.15" ShapeID="_x0000_i1026" DrawAspect="Content" ObjectID="_1468075725">
                  <o:LockedField>false</o:LockedField>
                </o:OLEObject>
              </w:objec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4.2施工工艺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4.2.1安装准备：根据设计图纸和施工规范规定，检查、核对预留孔洞大小尺寸是否正确，将管道坐标、标高位置划线定位。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4.2.2管道预制加工：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4.2.2.1根据图纸要求并结合实际情况，按预留口位置测量尺寸，绘制加工草图。根据草图量好管道尺寸，进行断管。端口要平齐，用铣刀活刮刀除掉断口内外飞刺，外棱铣出15度角，粘接前应对承插口先插入试验，不得全部插入，一般为承口的3/4深度。试插合格后，用棉布将插口需粘接部位的水分、灰尘擦拭干净。如有有无需用丙酮除去。用毛刷涂抹粘接剂，先涂抹承口，后涂抹插口，随即用力垂直插入，插入粘接时将插口稍作转动，以利粘接剂分布均匀，约30秒至一分钟即可粘接牢固。粘牢后立即将溢出粘接剂擦拭干净。多口粘连时应注意预留口方向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4.2.2.2为减少在安装中捻固定灰口，对部分铸铁管材与管件可预先按测绘的草图捻好灰口，并编号码放在平坦的场地，管段下面用木方垫平垫实。对灰口进行养护。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4.2.3污水干管安装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4.2.3.1抗震柔性接口铸铁排水管：安装前必须将管道接口一端的管身上（一般是指在直管的管身上），再将橡胶圈的一头套在一个接口管口上（一般是指套在已固定好管子或管件一端），并应套入至规定的深度，橡胶圈的另外一头向外翻转，将要连接的管件或直管的管口放入翻转的橡胶圈内，校准方位后，把翻转的橡胶圈翻回正常状态，再次校准管道的坡度和垂直度，初步用支吊架固定住管道，移动卡箍套住橡胶圈，拧紧螺栓，接口就完成，最后必须将管道支架紧固死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4.2.3.2安装托、吊干管要先搭设架子，将托架按设计坡度裁好吊卡，量准吊杆尺寸，将预制好的管道托、吊牢固，并将立管预留口位置及首层卫生器具的排水预留管口，按室内地平线、坐标位置及轴线找好尺寸，接至规定高度，将预留管口装上临时丝堵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4.2.3.3托、吊排水干管在吊顶内者，需做碧水试验，按隐蔽工程项目办理隐检手续。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4.2.4污水立管安装：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4.2.4.1铸铁管：根据施工图校对预留管洞口尺寸无误，安装立管时应二人上下配合，一人在一层楼板上，由管洞内投下一个绳头，下面一个人讲预制好的立管上半部分栓牢，上拉下托将立管下部插口插入下层管承口内。下层的人吧预留口及立管检查口方向找正，上层的人用木楔将管道在楼板洞处临时卡牢，打麻、吊直、捻灰。复查立管垂直度，将立管临时固定牢固。配合土建用不低于楼板标号的混凝土将洞灌满堵实，并拆除临时支架。高层建筑或管道井内应按照设计要求用型钢做固定支架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4.2.4.2立管检查口设置按设计要求，如排水支管设在吊顶内，应在每层立管上均装立管检查口，以便做闭水试验。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4.2.4.3高层建筑中建议采用抗震性柔性接口铸铁管。高层建筑采用辅助透气管，应采用辅助透气异型管件连接。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4.2.5污水支管安装：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4.2.5.1将预制好的管道托到架子上，再将支管插入立管预留口的承口内，将支管预留口尺寸找准，并固定好支管，然后打麻，捻灰口。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4.2.6灌水试验: 室内污水管安装完后，在接口达到强度后，做试验。用充气橡胶堵封闭管道最低出口处，从立管检查口开始注入洁净水，其灌水高度应不低于底层卫生器具的上边缘或底层地面高度。满水15min水面下降后，再灌满观察5min，液面不降，管道及接口无渗漏未合格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4.2.7通球试验：排水主立管及水平干管管道均应做通球试验检查。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autoSpaceDN w:val="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  <w:t>质量标准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5.1主控项目：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5.1.1隐蔽或麦迪的排水管道在隐蔽前必须做灌水试验，其灌水高度不应低于底层卫生器具的上边缘或底层地面高度。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检验方法：满水15min水面下降后，在灌满观察5min，液面不降，管道及接口无渗漏未合格。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5.1.2生活污水铸铁管道的坡度必须符合设计规定，如下表：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生活污水铸铁管道的坡度</w:t>
            </w:r>
          </w:p>
          <w:tbl>
            <w:tblPr>
              <w:tblStyle w:val="8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0"/>
              <w:gridCol w:w="2130"/>
              <w:gridCol w:w="2131"/>
              <w:gridCol w:w="21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项次</w:t>
                  </w:r>
                </w:p>
              </w:tc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管径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标准坡度（%）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最小坡度（）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50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25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75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15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110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725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10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160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130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131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</w:tbl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检验方法：水平尺、拉线尺量检查。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5.1.3排水主立管及水平干管管道均应做通球试验，通球球径不小于排水管管道直径的2/3，通球率必须达到100%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5.2一般项目：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5.2.1在生活污水管道上设置的检查口或清扫口，当设计无要求时，应符合下列规定：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（1）在立管上应每隔一层设置一个检查口，但在最底层和有卫生器具的最高层必须设置。如为两层建筑时，可仅在底层设置立管检查口；如有乙字弯管时，则在乙字弯管的上部设置检查口。检查口中心高度距操作地面一般为1m，允许偏差±20mm；检查口的朝向应便于检修。暗装立管，在检查口处应安装检修门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（2）在连接2个及2个依山大便器或3个及3个以上卫生器具的污水横管上应设置清扫口。当污水管在楼板下悬吊敷设时，可将清扫口设在上一层楼地面上，污水管起点的清扫口与管道相互垂直的墙面距离不得小于200mm；若污水管起点设置堵头代替清扫口时，与墙面距离不得小于400mm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（3）在转角小于135度的污水横管上，应设置检查口或清扫口。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（4）污水横管的直线管段，应按设计要求的距离设置检查口或清扫口。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检验方法：观察或尺量检查。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5.2.2埋在地下或管下的排水管道检查口，应设在检查井内。井底表面标高与检查口的法兰相平，井底表面应有5%坡度，坡向检查口。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检验方法：尺量检查。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5.2.3金属排水管道上的吊钩或卡箍应固定在称重结构上。固定件间距：横管不大于2m;立管不大于3m。楼层高度小于或等于4m,立管可安装1个固定件。立管底部的弯管处应设支墩或采取固定措施。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检验方法：观察或尺量检查。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5.2.4排水通气管不得与风道或烟道连接，且应符合下列规定：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通气管道应高出屋面300mm，但必须大于最大积雪厚度。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在通气管出口4m以内有门、窗时，通气管应高出门、窗顶600mm或引向无门、窗一侧。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在经常有人停留的平屋顶上，通气管应高出屋面2m，并应根据防雷要求设置防雷装置。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屋面有隔热层应从隔热层板面算起。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5.2.5通向室外的排水管，穿过墙壁或基础必须下返时，应采用45°顺水三通和45°弯头连接，并应在垂直管段顶部设置清扫口。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检验方法：观察或尺量检查。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5.2.6由室内通向室外排水检查井的排水管，井内引入管应高于排出管或两管管顶相平，并有不小于90°的水流转角，如跌落差大于300mm可不受角度限制。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检查方法：观察或尺量。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5.2.7用于室内排水的水平管道与水平管道、水平管道与立管的连接，应采用45°顺水三通或45°顺水四通和90°斜三通或90°顺水斜四通。立管与排出管端部的连接，应采用两个45°弯头或曲率半径不小于4倍管径的90°弯头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检查方法：观察或尺量检查。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5.2.8室内排水管道安装的允许偏差应符合下表规定。</w:t>
            </w:r>
          </w:p>
          <w:tbl>
            <w:tblPr>
              <w:tblStyle w:val="8"/>
              <w:tblW w:w="8136" w:type="dxa"/>
              <w:tblInd w:w="16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7"/>
              <w:gridCol w:w="369"/>
              <w:gridCol w:w="1332"/>
              <w:gridCol w:w="1068"/>
              <w:gridCol w:w="1812"/>
              <w:gridCol w:w="996"/>
              <w:gridCol w:w="14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项次</w:t>
                  </w:r>
                </w:p>
              </w:tc>
              <w:tc>
                <w:tcPr>
                  <w:tcW w:w="4581" w:type="dxa"/>
                  <w:gridSpan w:val="4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项目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允许偏差</w:t>
                  </w:r>
                </w:p>
              </w:tc>
              <w:tc>
                <w:tcPr>
                  <w:tcW w:w="1452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检查方法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4581" w:type="dxa"/>
                  <w:gridSpan w:val="4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坐标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15</w:t>
                  </w:r>
                </w:p>
              </w:tc>
              <w:tc>
                <w:tcPr>
                  <w:tcW w:w="1452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用水准仪（水平尺）、直尺、拉线和尺量检查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4581" w:type="dxa"/>
                  <w:gridSpan w:val="4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标高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±15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369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横管纵横方向弯曲</w:t>
                  </w:r>
                </w:p>
              </w:tc>
              <w:tc>
                <w:tcPr>
                  <w:tcW w:w="1332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铸铁管</w:t>
                  </w: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每1m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≯1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全长（25m以上）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≯25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钢管</w:t>
                  </w:r>
                </w:p>
              </w:tc>
              <w:tc>
                <w:tcPr>
                  <w:tcW w:w="1068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每1m</w:t>
                  </w:r>
                </w:p>
              </w:tc>
              <w:tc>
                <w:tcPr>
                  <w:tcW w:w="1812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管径小于或等于100mm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068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12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管径大于100mm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1.5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068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全长（25m以上）</w:t>
                  </w:r>
                </w:p>
              </w:tc>
              <w:tc>
                <w:tcPr>
                  <w:tcW w:w="1812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管径小于或等于100mm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≯25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068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12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管径大于100mm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≯308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塑料管</w:t>
                  </w: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每1m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1.5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全长（25m以上）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≯38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钢筋混凝土管、混凝土管</w:t>
                  </w: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每1m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全长（25m以上）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≯75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369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立管垂直度</w:t>
                  </w:r>
                </w:p>
              </w:tc>
              <w:tc>
                <w:tcPr>
                  <w:tcW w:w="1332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铸铁管</w:t>
                  </w: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每1m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452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吊线和尺量检查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全长（5m以上）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≯15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钢管</w:t>
                  </w: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每1m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全长（5m以上）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≯10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restart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塑料管</w:t>
                  </w: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每1m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1107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69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全长（5m以上）</w:t>
                  </w:r>
                </w:p>
              </w:tc>
              <w:tc>
                <w:tcPr>
                  <w:tcW w:w="996" w:type="dxa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  <w:t>≯15</w:t>
                  </w:r>
                </w:p>
              </w:tc>
              <w:tc>
                <w:tcPr>
                  <w:tcW w:w="1452" w:type="dxa"/>
                  <w:vMerge w:val="continue"/>
                </w:tcPr>
                <w:p>
                  <w:pPr>
                    <w:autoSpaceDN w:val="0"/>
                    <w:ind w:firstLine="480" w:firstLineChars="200"/>
                    <w:rPr>
                      <w:rFonts w:hint="eastAsia" w:ascii="微软雅黑" w:hAnsi="微软雅黑" w:eastAsia="微软雅黑" w:cs="仿宋_GB2312"/>
                      <w:sz w:val="24"/>
                      <w:lang w:val="en-US" w:eastAsia="zh-CN"/>
                    </w:rPr>
                  </w:pPr>
                </w:p>
              </w:tc>
            </w:tr>
          </w:tbl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5.1一般规定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5.1.1管位坐标、标高和坡度正确（包括明装和暗装），允许偏差符合下列规定：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5.1.1.1水平管道纵、横方向弯曲，每10m管段公差不应大于5mm；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5.1.1.2立管垂直度，每1m管段公差不应大于2mm，每5m管段公差不应大于8mm。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5.1.2管路系统连接点和接口部位整洁、牢固和密闭；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5.1.3支撑件和管卡安装位置正确和牢固；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5.1.4检验仪器仪表的灵敏性，阀门关闭的可靠性、灵敏性。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5.2管道试压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5.2.1试验压力应取管道系统工作压力的1.5倍，但不得小于0.6MPa；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5.2.2水压试验前，对试压管段应采取安全有效的固定和保护措施，各配水口应临时封堵，试压接头应明露；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5.2.3压力表量程不应小于试验压力的1.3倍，且精度为0.01MPa。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5.3焊缝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管道焊缝位置应符合下列要求：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5.3.1直管段两环焊缝间距不小于100mm；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5.3.2焊缝距弯管（不包括压制和热推弯管）起点不得小于1OOmm，且不小于管外径；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5.3.3环焊缝距支、吊架净距不小于50mm，需作热处理的焊缝距支、吊架不得小于焊缝宽度5倍，且不小于100mm；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5.3.4在管道焊缝上不得开孔，如必须开孔时，焊缝应经无损探伤检查合格；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5.3.5有加固环的卷管，加固环的对接焊缝与管子纵向焊缝措开，其间距不小于100mm，加固环距管子的环向焊缝不应小于50mm。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autoSpaceDN w:val="0"/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  <w:t>安全、环保、文明施工注意事项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6.1安装前对每隔施工人员进行安全岗位培训，合格后再允许上岗。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6.2参加安装人员必须遵守安全操作规程,穿戴好劳保用品,交叉作业时注意戴好安全帽，作好安全防护。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6.3所有机具均完好，不得带病运行。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6.4严禁上下抛掷物件和工具，工具应随手放入袋内。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6.5现场材料堆放整齐，做到工完场清。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6.6施工现场垃圾每天清理，堆放在指定的地点，保持清洁。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6.7铸铁排水管安装立管，两人要配合一致，固定住铸铁管以免坠落伤人。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6.8安装操作超过3.5m以上，搭设工作平台要牢固，防止材料工具坠落。</w:t>
            </w:r>
          </w:p>
          <w:p>
            <w:pPr>
              <w:autoSpaceDN w:val="0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</w:p>
          <w:p>
            <w:pPr>
              <w:autoSpaceDN w:val="0"/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  <w:t>7、成品保护措施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7.1管道安装完成后，应将所有管口封闭严密，防止杂物进入，造成管道堵塞。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7.2安装完成的管道应加强保护，尤其立管据地2m以下时，应用木板捆绑保护。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7.3油漆、涂料粉刷前应将管道用塑料薄膜包裹，以免污染管道。</w:t>
            </w:r>
          </w:p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  <w:lang w:val="en-US" w:eastAsia="zh-CN"/>
              </w:rPr>
              <w:t>其他应注意问题：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8.1预制好管道避免弯曲或断裂。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8.2支管设在吊顶内，末端有清扫口，应将管道接至上层地面上，便于清扫。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8.3高层建筑管材长度可根据楼层高度，每层只需一根管，减小接口，以免渗漏。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9322" w:type="dxa"/>
            <w:gridSpan w:val="6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附件及附图：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4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交底人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审核人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9322" w:type="dxa"/>
            <w:gridSpan w:val="6"/>
            <w:tcBorders>
              <w:top w:val="single" w:color="000000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项目管理人员接收人：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9322" w:type="dxa"/>
            <w:gridSpan w:val="6"/>
            <w:tcBorders>
              <w:top w:val="single" w:color="auto" w:sz="4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现场作业班组接收人：</w:t>
            </w:r>
          </w:p>
        </w:tc>
      </w:tr>
    </w:tbl>
    <w:p>
      <w:pPr>
        <w:spacing w:line="40" w:lineRule="exact"/>
        <w:rPr>
          <w:rFonts w:hint="eastAsia" w:ascii="微软雅黑" w:hAnsi="微软雅黑" w:eastAsia="微软雅黑"/>
          <w:szCs w:val="21"/>
        </w:rPr>
        <w:sectPr>
          <w:footerReference r:id="rId3" w:type="default"/>
          <w:footerReference r:id="rId4" w:type="even"/>
          <w:pgSz w:w="11906" w:h="16838"/>
          <w:pgMar w:top="1418" w:right="1134" w:bottom="1418" w:left="1701" w:header="851" w:footer="680" w:gutter="0"/>
          <w:pgNumType w:fmt="numberInDash"/>
          <w:cols w:space="720" w:num="1"/>
          <w:docGrid w:linePitch="312" w:charSpace="0"/>
        </w:sectPr>
      </w:pPr>
    </w:p>
    <w:p>
      <w:pPr>
        <w:jc w:val="center"/>
        <w:rPr>
          <w:rFonts w:hint="eastAsia" w:ascii="微软雅黑" w:hAnsi="微软雅黑" w:eastAsia="微软雅黑"/>
          <w:b/>
          <w:spacing w:val="22"/>
          <w:sz w:val="32"/>
          <w:szCs w:val="32"/>
        </w:rPr>
      </w:pPr>
      <w:bookmarkStart w:id="1" w:name="_Toc233092997"/>
      <w:r>
        <w:rPr>
          <w:rFonts w:ascii="微软雅黑" w:hAnsi="微软雅黑" w:eastAsia="微软雅黑"/>
          <w:b/>
          <w:spacing w:val="22"/>
          <w:sz w:val="32"/>
          <w:szCs w:val="32"/>
        </w:rPr>
        <w:t>安全防护技术交底书</w:t>
      </w:r>
    </w:p>
    <w:p>
      <w:pPr>
        <w:autoSpaceDN w:val="0"/>
        <w:rPr>
          <w:rFonts w:hint="eastAsia" w:ascii="微软雅黑" w:hAnsi="微软雅黑" w:eastAsia="微软雅黑" w:cs="仿宋_GB2312"/>
          <w:sz w:val="24"/>
        </w:rPr>
      </w:pPr>
      <w:r>
        <w:rPr>
          <w:rFonts w:hint="eastAsia" w:ascii="微软雅黑" w:hAnsi="微软雅黑" w:eastAsia="微软雅黑" w:cs="仿宋_GB2312"/>
          <w:sz w:val="24"/>
        </w:rPr>
        <w:t>工程名称：凤阳县体育中心工程                        编号：Fytyzx-201701-03</w:t>
      </w:r>
    </w:p>
    <w:tbl>
      <w:tblPr>
        <w:tblStyle w:val="7"/>
        <w:tblW w:w="924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24"/>
        <w:gridCol w:w="2636"/>
        <w:gridCol w:w="888"/>
        <w:gridCol w:w="388"/>
        <w:gridCol w:w="938"/>
        <w:gridCol w:w="26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单位工程名称</w:t>
            </w:r>
          </w:p>
        </w:tc>
        <w:tc>
          <w:tcPr>
            <w:tcW w:w="3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凤阳县体育中心</w:t>
            </w:r>
          </w:p>
        </w:tc>
        <w:tc>
          <w:tcPr>
            <w:tcW w:w="13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里程桩号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left="108" w:right="-116" w:hanging="108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设计文件图号</w:t>
            </w:r>
          </w:p>
        </w:tc>
        <w:tc>
          <w:tcPr>
            <w:tcW w:w="3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微软雅黑" w:hAnsi="微软雅黑" w:eastAsia="微软雅黑" w:cs="仿宋_GB2312"/>
                <w:sz w:val="24"/>
              </w:rPr>
            </w:pPr>
          </w:p>
        </w:tc>
        <w:tc>
          <w:tcPr>
            <w:tcW w:w="13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施工部位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钢筋直螺纹接头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9" w:hRule="atLeast"/>
        </w:trPr>
        <w:tc>
          <w:tcPr>
            <w:tcW w:w="9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napToGrid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安全防护技术交底内容：</w:t>
            </w:r>
          </w:p>
          <w:p>
            <w:pPr>
              <w:autoSpaceDN w:val="0"/>
              <w:snapToGrid w:val="0"/>
              <w:ind w:firstLine="48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1、进入施工现场必须遵守安全生产管理规定。</w:t>
            </w:r>
          </w:p>
          <w:p>
            <w:pPr>
              <w:autoSpaceDN w:val="0"/>
              <w:snapToGrid w:val="0"/>
              <w:ind w:firstLine="48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2、进入施工现场人员必须正确戴好安全帽，正确使用个人防护用品，着装要整齐，严禁赤脚和穿拖鞋、高跟鞋、赤膊进入施工现场。严禁酒后作业。</w:t>
            </w:r>
          </w:p>
          <w:p>
            <w:pPr>
              <w:autoSpaceDN w:val="0"/>
              <w:snapToGrid w:val="0"/>
              <w:ind w:firstLine="48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3、新进场的作业人员，必须参加入场安全教育培训，经考试合格后方可上岗，未经教育培训或考试不合格者，不得上岗作业。作业人员必须经过培训，持有特种作业方可进行焊接作业。</w:t>
            </w:r>
          </w:p>
          <w:p>
            <w:pPr>
              <w:autoSpaceDN w:val="0"/>
              <w:snapToGrid w:val="0"/>
              <w:ind w:firstLine="48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4、施工现场的各种安全防护设施、安全标志等，未经安全员批准严禁随意拆除和挪动。</w:t>
            </w:r>
          </w:p>
          <w:p>
            <w:pPr>
              <w:autoSpaceDN w:val="0"/>
              <w:snapToGrid w:val="0"/>
              <w:ind w:firstLine="48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5、</w:t>
            </w: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用电机具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必须设置专用开关箱，一次线5米，二次线30米。接地线严禁绑在钢筋上或用钢筋连接代替接地线。</w:t>
            </w:r>
          </w:p>
          <w:p>
            <w:pPr>
              <w:autoSpaceDN w:val="0"/>
              <w:snapToGrid w:val="0"/>
              <w:ind w:firstLine="48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</w:rPr>
              <w:t>6、在潮湿地带作业时，操作人员应站在铺有绝缘物品的地方，并穿绝缘鞋。</w:t>
            </w:r>
          </w:p>
          <w:p>
            <w:pPr>
              <w:autoSpaceDN w:val="0"/>
              <w:snapToGrid w:val="0"/>
              <w:ind w:firstLine="48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7、安装立管时应二人上下配合，一人在一层楼板上，由管洞内投下一个绳头，下面一个人讲预制好的立管上半部分栓牢，上拉下托将立管下部插口插入下层管承口内，安装劳务后方可解开绳头，以预防坠物。</w:t>
            </w:r>
          </w:p>
          <w:p>
            <w:pPr>
              <w:autoSpaceDN w:val="0"/>
              <w:snapToGrid w:val="0"/>
              <w:ind w:firstLine="48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8、安装操作超过3.5m以上，搭设工作平台要牢固，防止材料工具坠落。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9、严禁上下抛掷物件和工具，工具应随手放入袋内。</w:t>
            </w:r>
            <w:bookmarkStart w:id="2" w:name="_GoBack"/>
            <w:bookmarkEnd w:id="2"/>
          </w:p>
          <w:p>
            <w:pPr>
              <w:autoSpaceDN w:val="0"/>
              <w:snapToGrid w:val="0"/>
              <w:ind w:firstLine="480"/>
              <w:rPr>
                <w:rFonts w:hint="eastAsia" w:ascii="微软雅黑" w:hAnsi="微软雅黑" w:eastAsia="微软雅黑" w:cs="仿宋_GB2312"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仿宋_GB2312"/>
                <w:sz w:val="24"/>
              </w:rPr>
              <w:t>、施工过程中做到文明施工，保护施工现场生态平衡，防止和减少施工过程中的粉尘、噪音、震动、废水废料等对周围环境的污染和危害；杜绝焚烧有毒废料（废机油、废塑料等）。</w:t>
            </w:r>
          </w:p>
          <w:p>
            <w:pPr>
              <w:autoSpaceDN w:val="0"/>
              <w:snapToGrid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安全防护标准：</w:t>
            </w:r>
          </w:p>
          <w:p>
            <w:pPr>
              <w:autoSpaceDN w:val="0"/>
              <w:snapToGrid w:val="0"/>
              <w:rPr>
                <w:rFonts w:hint="eastAsia" w:ascii="微软雅黑" w:hAnsi="微软雅黑" w:eastAsia="微软雅黑" w:cs="仿宋_GB2312"/>
                <w:sz w:val="24"/>
              </w:rPr>
            </w:pPr>
          </w:p>
          <w:p>
            <w:pPr>
              <w:autoSpaceDN w:val="0"/>
              <w:snapToGrid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安全防护示意图：</w:t>
            </w:r>
          </w:p>
          <w:p>
            <w:pPr>
              <w:autoSpaceDN w:val="0"/>
              <w:snapToGrid w:val="0"/>
              <w:rPr>
                <w:rFonts w:hint="eastAsia" w:ascii="微软雅黑" w:hAnsi="微软雅黑" w:eastAsia="微软雅黑" w:cs="仿宋_GB2312"/>
                <w:sz w:val="24"/>
              </w:rPr>
            </w:pPr>
          </w:p>
          <w:p>
            <w:pPr>
              <w:autoSpaceDN w:val="0"/>
              <w:snapToGrid w:val="0"/>
              <w:rPr>
                <w:rFonts w:hint="eastAsia" w:ascii="微软雅黑" w:hAnsi="微软雅黑" w:eastAsia="微软雅黑" w:cs="仿宋_GB2312"/>
                <w:sz w:val="24"/>
              </w:rPr>
            </w:pPr>
          </w:p>
          <w:p>
            <w:pPr>
              <w:autoSpaceDN w:val="0"/>
              <w:snapToGrid w:val="0"/>
              <w:rPr>
                <w:rFonts w:hint="eastAsia" w:ascii="微软雅黑" w:hAnsi="微软雅黑" w:eastAsia="微软雅黑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交底人</w:t>
            </w:r>
          </w:p>
        </w:tc>
        <w:tc>
          <w:tcPr>
            <w:tcW w:w="3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微软雅黑" w:hAnsi="微软雅黑" w:eastAsia="微软雅黑" w:cs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审核人</w:t>
            </w:r>
          </w:p>
        </w:tc>
        <w:tc>
          <w:tcPr>
            <w:tcW w:w="36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微软雅黑" w:hAnsi="微软雅黑" w:eastAsia="微软雅黑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9244" w:type="dxa"/>
            <w:gridSpan w:val="7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napToGrid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项目管理人员接收人：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9244" w:type="dxa"/>
            <w:gridSpan w:val="7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napToGrid w:val="0"/>
              <w:rPr>
                <w:rFonts w:hint="eastAsia" w:ascii="微软雅黑" w:hAnsi="微软雅黑" w:eastAsia="微软雅黑" w:cs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仿宋_GB2312"/>
                <w:b/>
                <w:sz w:val="24"/>
              </w:rPr>
              <w:t>现场作业班组接收人：</w:t>
            </w:r>
          </w:p>
        </w:tc>
      </w:tr>
      <w:bookmarkEnd w:id="1"/>
    </w:tbl>
    <w:p>
      <w:pPr>
        <w:topLinePunct/>
        <w:autoSpaceDE w:val="0"/>
        <w:adjustRightInd w:val="0"/>
        <w:snapToGrid w:val="0"/>
        <w:spacing w:line="40" w:lineRule="exact"/>
        <w:jc w:val="left"/>
        <w:rPr>
          <w:rFonts w:hint="eastAsia" w:ascii="微软雅黑" w:hAnsi="微软雅黑" w:eastAsia="微软雅黑"/>
          <w:color w:val="000000"/>
          <w:kern w:val="0"/>
          <w:sz w:val="24"/>
        </w:rPr>
      </w:pPr>
    </w:p>
    <w:p>
      <w:pPr>
        <w:ind w:firstLine="380"/>
        <w:rPr>
          <w:rFonts w:ascii="宋体" w:hAnsi="宋体" w:eastAsia="宋体" w:cs="宋体"/>
          <w:color w:val="000000"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微软雅黑" w:hAnsi="微软雅黑" w:eastAsia="微软雅黑"/>
        <w:sz w:val="24"/>
        <w:szCs w:val="24"/>
      </w:rPr>
    </w:pPr>
    <w:r>
      <w:rPr>
        <w:rFonts w:ascii="微软雅黑" w:hAnsi="微软雅黑" w:eastAsia="微软雅黑"/>
        <w:sz w:val="24"/>
        <w:szCs w:val="24"/>
      </w:rPr>
      <w:fldChar w:fldCharType="begin"/>
    </w:r>
    <w:r>
      <w:rPr>
        <w:rFonts w:ascii="微软雅黑" w:hAnsi="微软雅黑" w:eastAsia="微软雅黑"/>
        <w:sz w:val="24"/>
        <w:szCs w:val="24"/>
      </w:rPr>
      <w:instrText xml:space="preserve">PAGE   \* MERGEFORMAT</w:instrText>
    </w:r>
    <w:r>
      <w:rPr>
        <w:rFonts w:ascii="微软雅黑" w:hAnsi="微软雅黑" w:eastAsia="微软雅黑"/>
        <w:sz w:val="24"/>
        <w:szCs w:val="24"/>
      </w:rPr>
      <w:fldChar w:fldCharType="separate"/>
    </w:r>
    <w:r>
      <w:rPr>
        <w:rFonts w:ascii="微软雅黑" w:hAnsi="微软雅黑" w:eastAsia="微软雅黑"/>
        <w:sz w:val="24"/>
        <w:szCs w:val="24"/>
        <w:lang w:val="zh-CN"/>
      </w:rPr>
      <w:t>-</w:t>
    </w:r>
    <w:r>
      <w:rPr>
        <w:rFonts w:ascii="微软雅黑" w:hAnsi="微软雅黑" w:eastAsia="微软雅黑"/>
        <w:sz w:val="24"/>
        <w:szCs w:val="24"/>
      </w:rPr>
      <w:t xml:space="preserve"> 5 -</w:t>
    </w:r>
    <w:r>
      <w:rPr>
        <w:rFonts w:ascii="微软雅黑" w:hAnsi="微软雅黑" w:eastAsia="微软雅黑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F288"/>
    <w:multiLevelType w:val="singleLevel"/>
    <w:tmpl w:val="597FF28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9164A7"/>
    <w:multiLevelType w:val="singleLevel"/>
    <w:tmpl w:val="599164A7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5991651A"/>
    <w:multiLevelType w:val="singleLevel"/>
    <w:tmpl w:val="5991651A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D1"/>
    <w:rsid w:val="00180C9C"/>
    <w:rsid w:val="00B616D1"/>
    <w:rsid w:val="00E64D3A"/>
    <w:rsid w:val="2AEF6EA4"/>
    <w:rsid w:val="494E44FF"/>
    <w:rsid w:val="4A5A4C5F"/>
    <w:rsid w:val="4A771BB6"/>
    <w:rsid w:val="4B4255DF"/>
    <w:rsid w:val="4F564F3A"/>
    <w:rsid w:val="55017FA6"/>
    <w:rsid w:val="59642D30"/>
    <w:rsid w:val="5DED2952"/>
    <w:rsid w:val="658A5524"/>
    <w:rsid w:val="7132080E"/>
    <w:rsid w:val="7247163A"/>
    <w:rsid w:val="7BC1754A"/>
    <w:rsid w:val="7DA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FollowedHyperlink"/>
    <w:basedOn w:val="3"/>
    <w:qFormat/>
    <w:uiPriority w:val="0"/>
    <w:rPr>
      <w:rFonts w:hint="eastAsia" w:ascii="宋体" w:hAnsi="宋体" w:eastAsia="宋体" w:cs="宋体"/>
      <w:color w:val="4A4A48"/>
      <w:sz w:val="14"/>
      <w:szCs w:val="14"/>
      <w:u w:val="none"/>
    </w:rPr>
  </w:style>
  <w:style w:type="character" w:styleId="6">
    <w:name w:val="Hyperlink"/>
    <w:basedOn w:val="3"/>
    <w:qFormat/>
    <w:uiPriority w:val="0"/>
    <w:rPr>
      <w:rFonts w:hint="eastAsia" w:ascii="宋体" w:hAnsi="宋体" w:eastAsia="宋体" w:cs="宋体"/>
      <w:color w:val="4A4A48"/>
      <w:sz w:val="14"/>
      <w:szCs w:val="14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614</Words>
  <Characters>3501</Characters>
  <Lines>29</Lines>
  <Paragraphs>8</Paragraphs>
  <TotalTime>0</TotalTime>
  <ScaleCrop>false</ScaleCrop>
  <LinksUpToDate>false</LinksUpToDate>
  <CharactersWithSpaces>4107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S5</dc:creator>
  <cp:lastModifiedBy>S5</cp:lastModifiedBy>
  <dcterms:modified xsi:type="dcterms:W3CDTF">2017-08-14T08:35:31Z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