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bidi w:val="0"/>
        <w:adjustRightInd w:val="0"/>
        <w:snapToGrid w:val="0"/>
        <w:spacing w:afterAutospacing="0" w:line="440" w:lineRule="exact"/>
        <w:jc w:val="center"/>
        <w:rPr>
          <w:rFonts w:hAnsi="宋体"/>
          <w:b/>
          <w:bCs/>
          <w:sz w:val="30"/>
          <w:szCs w:val="30"/>
        </w:rPr>
      </w:pPr>
      <w:bookmarkStart w:id="40" w:name="_GoBack"/>
      <w:r>
        <w:rPr>
          <w:rFonts w:hint="eastAsia" w:ascii="宋体" w:hAnsi="宋体"/>
          <w:b/>
          <w:bCs/>
          <w:sz w:val="36"/>
          <w:szCs w:val="36"/>
        </w:rPr>
        <w:t>中铁四局集团</w:t>
      </w:r>
      <w:r>
        <w:rPr>
          <w:rFonts w:hint="eastAsia" w:hAnsi="宋体"/>
          <w:b/>
          <w:bCs/>
          <w:sz w:val="36"/>
          <w:szCs w:val="36"/>
          <w:lang w:eastAsia="zh-CN"/>
        </w:rPr>
        <w:t>第四工程有限公司项目</w:t>
      </w:r>
      <w:r>
        <w:rPr>
          <w:rFonts w:hint="eastAsia" w:ascii="宋体" w:hAnsi="宋体"/>
          <w:b/>
          <w:bCs/>
          <w:sz w:val="36"/>
          <w:szCs w:val="36"/>
        </w:rPr>
        <w:t>物资集中采购招标</w:t>
      </w:r>
    </w:p>
    <w:p>
      <w:pPr>
        <w:pageBreakBefore w:val="0"/>
        <w:kinsoku/>
        <w:wordWrap/>
        <w:overflowPunct/>
        <w:bidi w:val="0"/>
        <w:spacing w:afterAutospacing="0" w:line="440" w:lineRule="exact"/>
        <w:jc w:val="center"/>
        <w:rPr>
          <w:rFonts w:hint="eastAsia" w:ascii="宋体" w:hAnsi="宋体" w:eastAsia="宋体"/>
          <w:b w:val="0"/>
          <w:bCs w:val="0"/>
          <w:kern w:val="2"/>
          <w:sz w:val="21"/>
          <w:szCs w:val="21"/>
          <w:lang w:val="en-US" w:eastAsia="zh-CN" w:bidi="ar-SA"/>
        </w:rPr>
      </w:pPr>
      <w:r>
        <w:rPr>
          <w:rFonts w:hint="eastAsia" w:ascii="宋体" w:hAnsi="宋体"/>
          <w:b/>
          <w:bCs/>
          <w:sz w:val="24"/>
          <w:szCs w:val="24"/>
        </w:rPr>
        <w:t>招标编号：CTCE4C-WZCG-</w:t>
      </w:r>
      <w:bookmarkStart w:id="0" w:name="_Toc238797533"/>
      <w:bookmarkStart w:id="1" w:name="_Toc238552178"/>
      <w:bookmarkStart w:id="2" w:name="_Toc261444465"/>
      <w:bookmarkStart w:id="3" w:name="_Toc261444464"/>
      <w:bookmarkStart w:id="4" w:name="_Toc243475751"/>
      <w:bookmarkStart w:id="5" w:name="_Toc144974481"/>
      <w:bookmarkStart w:id="6" w:name="_Toc152045513"/>
      <w:bookmarkStart w:id="7" w:name="_Toc152042289"/>
      <w:r>
        <w:rPr>
          <w:rFonts w:hint="eastAsia" w:ascii="宋体" w:hAnsi="宋体"/>
          <w:b/>
          <w:bCs/>
          <w:sz w:val="24"/>
          <w:szCs w:val="24"/>
          <w:lang w:eastAsia="zh-CN"/>
        </w:rPr>
        <w:t>20170</w:t>
      </w:r>
      <w:r>
        <w:rPr>
          <w:rFonts w:hint="eastAsia" w:ascii="宋体" w:hAnsi="宋体"/>
          <w:b/>
          <w:bCs/>
          <w:sz w:val="24"/>
          <w:szCs w:val="24"/>
          <w:lang w:val="en-US" w:eastAsia="zh-CN"/>
        </w:rPr>
        <w:t>14</w:t>
      </w:r>
    </w:p>
    <w:p>
      <w:pPr>
        <w:pStyle w:val="2"/>
        <w:keepNext/>
        <w:keepLines/>
        <w:pageBreakBefore w:val="0"/>
        <w:widowControl w:val="0"/>
        <w:kinsoku/>
        <w:wordWrap/>
        <w:overflowPunct/>
        <w:topLinePunct w:val="0"/>
        <w:autoSpaceDE/>
        <w:autoSpaceDN/>
        <w:bidi w:val="0"/>
        <w:adjustRightInd/>
        <w:snapToGrid/>
        <w:spacing w:afterAutospacing="0" w:line="360" w:lineRule="auto"/>
        <w:ind w:left="0" w:leftChars="0" w:right="0" w:rightChars="0" w:firstLine="482" w:firstLineChars="200"/>
        <w:jc w:val="left"/>
        <w:textAlignment w:val="auto"/>
        <w:outlineLvl w:val="1"/>
        <w:rPr>
          <w:rFonts w:hint="eastAsia" w:ascii="宋体" w:hAnsi="宋体" w:eastAsia="宋体"/>
          <w:b w:val="0"/>
          <w:bCs w:val="0"/>
          <w:snapToGrid/>
          <w:kern w:val="2"/>
          <w:sz w:val="24"/>
          <w:szCs w:val="24"/>
          <w:lang w:val="en-US" w:eastAsia="zh-CN" w:bidi="ar-SA"/>
        </w:rPr>
      </w:pPr>
      <w:bookmarkStart w:id="8" w:name="_Toc31627"/>
      <w:bookmarkStart w:id="9" w:name="_Toc29869"/>
      <w:r>
        <w:rPr>
          <w:rFonts w:hint="eastAsia"/>
          <w:sz w:val="24"/>
          <w:szCs w:val="24"/>
        </w:rPr>
        <w:t>1</w:t>
      </w:r>
      <w:r>
        <w:rPr>
          <w:rFonts w:hint="eastAsia"/>
          <w:sz w:val="24"/>
          <w:szCs w:val="24"/>
          <w:lang w:val="en-US" w:eastAsia="zh-CN"/>
        </w:rPr>
        <w:t>.</w:t>
      </w:r>
      <w:r>
        <w:rPr>
          <w:rFonts w:hint="eastAsia"/>
          <w:sz w:val="24"/>
          <w:szCs w:val="24"/>
        </w:rPr>
        <w:t>招标条件</w:t>
      </w:r>
      <w:bookmarkEnd w:id="8"/>
      <w:bookmarkEnd w:id="9"/>
    </w:p>
    <w:bookmarkEnd w:id="0"/>
    <w:bookmarkEnd w:id="1"/>
    <w:bookmarkEnd w:id="2"/>
    <w:bookmarkEnd w:id="3"/>
    <w:bookmarkEnd w:id="4"/>
    <w:bookmarkEnd w:id="5"/>
    <w:bookmarkEnd w:id="6"/>
    <w:bookmarkEnd w:id="7"/>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eastAsia="宋体" w:cs="宋体"/>
          <w:b w:val="0"/>
          <w:bCs w:val="0"/>
          <w:color w:val="000000"/>
          <w:sz w:val="21"/>
          <w:szCs w:val="21"/>
          <w:lang w:val="en-US" w:eastAsia="zh-CN"/>
        </w:rPr>
      </w:pPr>
      <w:bookmarkStart w:id="10" w:name="_Toc22318"/>
      <w:bookmarkStart w:id="11" w:name="_Toc144974483"/>
      <w:bookmarkStart w:id="12" w:name="_Toc243475753"/>
      <w:bookmarkStart w:id="13" w:name="_Toc152045515"/>
      <w:bookmarkStart w:id="14" w:name="_Toc152042291"/>
      <w:bookmarkStart w:id="15" w:name="_Toc238797535"/>
      <w:bookmarkStart w:id="16" w:name="_Toc238552180"/>
      <w:bookmarkStart w:id="17" w:name="_Toc261444467"/>
      <w:r>
        <w:rPr>
          <w:rFonts w:hint="eastAsia" w:ascii="宋体" w:hAnsi="宋体"/>
          <w:sz w:val="21"/>
          <w:szCs w:val="21"/>
          <w:lang w:val="en-US" w:eastAsia="zh-CN"/>
        </w:rPr>
        <w:t>中铁四局集团合肥地铁五号线、</w:t>
      </w:r>
      <w:r>
        <w:rPr>
          <w:rFonts w:hint="eastAsia" w:ascii="宋体" w:hAnsi="宋体" w:cs="宋体"/>
          <w:color w:val="000000"/>
          <w:szCs w:val="21"/>
        </w:rPr>
        <w:t>延崇高速河北段ZT8合同项目部</w:t>
      </w:r>
      <w:r>
        <w:rPr>
          <w:rFonts w:hint="eastAsia" w:ascii="宋体" w:hAnsi="宋体" w:cs="宋体"/>
          <w:color w:val="000000"/>
          <w:szCs w:val="21"/>
          <w:lang w:eastAsia="zh-CN"/>
        </w:rPr>
        <w:t>、</w:t>
      </w:r>
      <w:r>
        <w:rPr>
          <w:rFonts w:hint="eastAsia" w:ascii="宋体" w:hAnsi="宋体"/>
          <w:sz w:val="21"/>
          <w:szCs w:val="21"/>
          <w:lang w:val="en-US" w:eastAsia="zh-CN"/>
        </w:rPr>
        <w:t>太焦铁路TJZQ-8标项目经理部</w:t>
      </w:r>
      <w:r>
        <w:rPr>
          <w:rFonts w:hint="eastAsia" w:ascii="宋体" w:hAnsi="宋体" w:eastAsia="宋体" w:cs="宋体"/>
          <w:b w:val="0"/>
          <w:bCs w:val="0"/>
          <w:sz w:val="21"/>
          <w:szCs w:val="21"/>
          <w:highlight w:val="none"/>
          <w:lang w:val="en-US" w:eastAsia="zh-CN"/>
        </w:rPr>
        <w:t>建设资金已落实，所需商品砼、钢材、</w:t>
      </w:r>
      <w:r>
        <w:rPr>
          <w:rFonts w:hint="eastAsia" w:ascii="宋体" w:hAnsi="宋体"/>
          <w:sz w:val="21"/>
          <w:szCs w:val="21"/>
          <w:lang w:val="en-US" w:eastAsia="zh-CN"/>
        </w:rPr>
        <w:t>石灰、水泥涵管、水泥、中空锚杆</w:t>
      </w:r>
      <w:r>
        <w:rPr>
          <w:rFonts w:hint="eastAsia" w:ascii="宋体" w:hAnsi="宋体" w:eastAsia="宋体" w:cs="宋体"/>
          <w:b w:val="0"/>
          <w:bCs w:val="0"/>
          <w:color w:val="000000"/>
          <w:sz w:val="21"/>
          <w:szCs w:val="21"/>
          <w:lang w:val="en-US" w:eastAsia="zh-CN"/>
        </w:rPr>
        <w:t>已具备招标条件，现由中铁四局集团第四工程有限公司组织进行公开招标。</w:t>
      </w:r>
    </w:p>
    <w:p>
      <w:pPr>
        <w:pStyle w:val="2"/>
        <w:keepNext/>
        <w:keepLines/>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1"/>
        <w:rPr>
          <w:rFonts w:hint="eastAsia"/>
          <w:sz w:val="24"/>
          <w:szCs w:val="24"/>
          <w:lang w:val="en-US" w:eastAsia="zh-CN"/>
        </w:rPr>
      </w:pPr>
      <w:bookmarkStart w:id="18" w:name="_Toc22962"/>
      <w:r>
        <w:rPr>
          <w:rFonts w:hint="eastAsia"/>
          <w:sz w:val="24"/>
          <w:szCs w:val="24"/>
          <w:lang w:val="en-US" w:eastAsia="zh-CN"/>
        </w:rPr>
        <w:t>2.招标依据</w:t>
      </w:r>
      <w:bookmarkEnd w:id="18"/>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2.1《中华人民共和国招标投标法》；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2.2《工程建设项目货物招标投标办法》（国家发展改革委等七部委令第27号）；</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2.3《评标委员会和评标方法暂行规定》（国家发展改革委等七部委令第12号）；</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lang w:val="en-US" w:eastAsia="zh-CN"/>
        </w:rPr>
      </w:pPr>
      <w:r>
        <w:rPr>
          <w:rFonts w:hint="eastAsia" w:ascii="宋体" w:hAnsi="宋体"/>
          <w:sz w:val="21"/>
          <w:szCs w:val="21"/>
          <w:lang w:val="en-US" w:eastAsia="zh-CN"/>
        </w:rPr>
        <w:t>2.4《关于印发中铁四局集团工程物资招标采购管理实施细则的通知》中铁四程［2017］136号。</w:t>
      </w:r>
    </w:p>
    <w:p>
      <w:pPr>
        <w:pStyle w:val="2"/>
        <w:keepNext/>
        <w:keepLines/>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1"/>
        <w:rPr>
          <w:rFonts w:hint="eastAsia"/>
          <w:lang w:val="en-US" w:eastAsia="zh-CN"/>
        </w:rPr>
      </w:pPr>
      <w:bookmarkStart w:id="19" w:name="_Toc4701"/>
      <w:r>
        <w:rPr>
          <w:rFonts w:hint="eastAsia"/>
          <w:lang w:val="en-US" w:eastAsia="zh-CN"/>
        </w:rPr>
        <w:t>3.项目概况与招标内容</w:t>
      </w:r>
      <w:bookmarkEnd w:id="10"/>
      <w:bookmarkEnd w:id="19"/>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3.1项目概况：</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3.1.1 合肥市轨道交通5号线土建施工总承包4标段包含9、10、11三个工区。9工区含祁门路站、桐城南路站、高铁站~祁门路站区间、祁门路站~桐城南路站区间、桐城南路站~休宁路站区间土建工程，共2站3区间；10工区含休宁路站、望江东路站、休宁路站~望江东路站区间、望江东路站~黄山路站区间土建工程，共2站2区间；11工区含黄山路站、雨花塘站、黄山路站~雨花塘站区间、雨花塘站~三孝口站区间土建工程，共2站2区间；整个标段合计共6站7区间，区间单线总长度约13.259km。本项目合同工期975日历天。预计开工日期:2017年3月30日，具体开工时间以开工令为准；本项目区间土建工程均于2019年8月31日前实现洞通，2019年11月30日完工。</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3.1.2 延崇高速公路河北段第ZT8标段由K66+100至K73+500（路面K66+100至K84+800），长约7.4km（路面18.7km），公路等级为I级，设计时速为100（80）km/h，沥青混凝土路面18.7km。大中桥3座，计长464米，以及其他构造物工程等。</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eastAsia="宋体" w:cs="宋体"/>
          <w:color w:val="auto"/>
          <w:sz w:val="21"/>
          <w:szCs w:val="21"/>
          <w:lang w:val="en-US" w:eastAsia="zh-CN"/>
        </w:rPr>
      </w:pPr>
      <w:r>
        <w:rPr>
          <w:rFonts w:hint="eastAsia" w:ascii="宋体" w:hAnsi="宋体"/>
          <w:sz w:val="21"/>
          <w:szCs w:val="21"/>
          <w:lang w:val="en-US" w:eastAsia="zh-CN"/>
        </w:rPr>
        <w:t>3.1.3中铁四局集团太焦铁路TJZQ-8标项目工程（简称太焦铁路8标项目部），位于山西省长治市长治县，中标单价24.37亿元，由中铁四局集团太焦铁路TJZQ-8标项目经理部施工，于2017年10月开工至2019年12月结束，施工主要内容为正线长37.375Km。路基 12720.43m；特大桥 3 座 4220.02m，大中桥 13座 2049.54m,隧道 8 座 18385m，老顶山隧道 3441m,天桥隧道 6519m,杨家岭 1 号明洞 84m，杨家岭隧道925m,杨家岭 2 号明洞 84m,五谷山 1 号隧道 1900m,五谷山 2 号隧道 905m,皇后岭隧道 4540m；长治东站、 长治县站场建筑设备，长治制梁场 174 孔；以及本标段范围内相应的大临及配合辅助工程、配套工程。</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3.2 招标内容：物资品种、数量、包件划分详见附表1。</w:t>
      </w:r>
    </w:p>
    <w:p>
      <w:pPr>
        <w:pStyle w:val="2"/>
        <w:pageBreakBefore w:val="0"/>
        <w:kinsoku/>
        <w:wordWrap/>
        <w:overflowPunct/>
        <w:topLinePunct w:val="0"/>
        <w:autoSpaceDE/>
        <w:autoSpaceDN/>
        <w:bidi w:val="0"/>
        <w:adjustRightInd/>
        <w:snapToGrid/>
        <w:spacing w:line="360" w:lineRule="auto"/>
        <w:ind w:left="0" w:leftChars="0" w:right="0" w:rightChars="0"/>
        <w:jc w:val="left"/>
        <w:textAlignment w:val="auto"/>
        <w:rPr>
          <w:rFonts w:hint="eastAsia"/>
          <w:lang w:val="en-US" w:eastAsia="zh-CN"/>
        </w:rPr>
      </w:pPr>
      <w:bookmarkStart w:id="20" w:name="_Toc238797534"/>
      <w:bookmarkStart w:id="21" w:name="_Toc144974482"/>
      <w:bookmarkStart w:id="22" w:name="_Toc243475752"/>
      <w:bookmarkStart w:id="23" w:name="_Toc11460"/>
      <w:bookmarkStart w:id="24" w:name="_Toc152042290"/>
      <w:bookmarkStart w:id="25" w:name="_Toc238552179"/>
      <w:bookmarkStart w:id="26" w:name="_Toc261444466"/>
      <w:bookmarkStart w:id="27" w:name="_Toc5087"/>
      <w:bookmarkStart w:id="28" w:name="_Toc152045514"/>
      <w:r>
        <w:rPr>
          <w:rFonts w:hint="eastAsia"/>
          <w:lang w:val="en-US" w:eastAsia="zh-CN"/>
        </w:rPr>
        <w:t>4.投标人资格要求</w:t>
      </w:r>
      <w:bookmarkEnd w:id="20"/>
      <w:bookmarkEnd w:id="21"/>
      <w:bookmarkEnd w:id="22"/>
      <w:bookmarkEnd w:id="23"/>
      <w:bookmarkEnd w:id="24"/>
      <w:bookmarkEnd w:id="25"/>
      <w:bookmarkEnd w:id="26"/>
      <w:bookmarkEnd w:id="27"/>
      <w:bookmarkEnd w:id="28"/>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4.1 本次招标投标人资格要求：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4.1.1通用资格要求：</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①营业范围要求：在中华人民共和国境内依法注册，具有独立法人资格、具有招标物资生产或供应经验的生产厂或供应商，并且具有合法、有效的三证合一的营业执照。</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②财务能力要求：资金财务状况良好，具备实施本项目合同充足的资金保障能力；投标人为生产厂的须具有2014-2015年或2015-2016年连续两年经会计师事务所或审计机构审计的财务报告及报表，投标人为代理商的须具有2014-2015年或2015-2016年连续两年的财务报告及报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③质量保证能力要求：生产厂具有有效的ISO9000系列质量管理体系认证，产品符合国家现行标准；并且具有近三年（2014、2015、2016年）的省、部级及以上专业检测机构出具的针对投标物资质量检验报告2份。</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④供货业绩要求：投标人2014至2016年至少有3份铁路工程或国家重点工程建设项目供货业绩相关证明材料。</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投标物资已供买方或使用单位出具的投标人履约情况证明。</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4.1.2专用资格要求：见附表1.</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4.2 本次招标不接受联合体投标。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4.3 投标人必须提供满足招标文件要求的投标物资，且制造地、生产线、生产工艺及原材料等始终与投标承诺一致。</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highlight w:val="none"/>
          <w:lang w:val="en-US" w:eastAsia="zh-CN"/>
        </w:rPr>
      </w:pPr>
      <w:bookmarkStart w:id="29" w:name="_Toc11719"/>
      <w:r>
        <w:rPr>
          <w:rFonts w:hint="eastAsia" w:ascii="宋体" w:hAnsi="宋体"/>
          <w:sz w:val="21"/>
          <w:szCs w:val="21"/>
          <w:highlight w:val="none"/>
          <w:lang w:val="en-US" w:eastAsia="zh-CN"/>
        </w:rPr>
        <w:t>4.4 投标人必须为增值税一般纳税人，且必须及时开具合法合规的增值税专用发票票据，作为货款结算支付的凭据。</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highlight w:val="none"/>
          <w:lang w:val="en-US" w:eastAsia="zh-CN"/>
        </w:rPr>
      </w:pPr>
      <w:r>
        <w:rPr>
          <w:rFonts w:hint="eastAsia" w:ascii="宋体" w:hAnsi="宋体"/>
          <w:sz w:val="21"/>
          <w:szCs w:val="21"/>
          <w:highlight w:val="none"/>
          <w:lang w:val="en-US" w:eastAsia="zh-CN"/>
        </w:rPr>
        <w:t>4.5本次招标物资一包一投，投标人按包件分别编制投标文件。</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4.6投标人必须是已在鲁班网上进行注册的单位。</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4.7投标人不得是相应工程标段承包人或者承担本项目的设计、监理单位的子公司及控股公司。</w:t>
      </w:r>
    </w:p>
    <w:p>
      <w:pPr>
        <w:pStyle w:val="2"/>
        <w:pageBreakBefore w:val="0"/>
        <w:kinsoku/>
        <w:wordWrap/>
        <w:overflowPunct/>
        <w:topLinePunct w:val="0"/>
        <w:autoSpaceDE/>
        <w:autoSpaceDN/>
        <w:bidi w:val="0"/>
        <w:adjustRightInd/>
        <w:snapToGrid/>
        <w:spacing w:afterAutospacing="0" w:line="360" w:lineRule="auto"/>
        <w:ind w:left="0" w:leftChars="0" w:right="0" w:rightChars="0"/>
        <w:jc w:val="left"/>
        <w:textAlignment w:val="auto"/>
        <w:rPr>
          <w:rFonts w:hint="eastAsia"/>
          <w:lang w:val="en-US" w:eastAsia="zh-CN"/>
        </w:rPr>
      </w:pPr>
      <w:r>
        <w:rPr>
          <w:rFonts w:hint="eastAsia"/>
          <w:lang w:val="en-US" w:eastAsia="zh-CN"/>
        </w:rPr>
        <w:t>5.招标文件的获取</w:t>
      </w:r>
      <w:bookmarkEnd w:id="29"/>
      <w:r>
        <w:rPr>
          <w:rFonts w:hint="eastAsia"/>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5.1本次招标文件采用中铁鲁班电子商务平台授权下载发售。</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5.2招标文件获取程序：</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5.2.1注册：潜在投标人在中国中铁采购电子商务平台(www.crecgec.com)注册成为平台用户（须签订合同），因合同双方签订有一定时间，建议提前操作。（客服热线4006-010100）</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5.2.2响应：经注册、审核后，潜在投标人请在招标文件获取的规定时间内登录网站--“供方交易系统登录”--点击“采购信息”--在“采购名称”中点击招标项目--点击相应“包件编号”--填写“联系人、联系方式、输入密码、确认密码”，点击“提交”-- “响应”。（具体响应操作指导见网上《供应商在线投标简易操作指南（新门户版）》）</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注：此处设置的密码非常重要，开标后使用该密码为投标报价解锁。</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b w:val="0"/>
          <w:bCs w:val="0"/>
          <w:sz w:val="21"/>
          <w:szCs w:val="21"/>
          <w:lang w:val="en-US" w:eastAsia="zh-CN"/>
        </w:rPr>
      </w:pPr>
      <w:r>
        <w:rPr>
          <w:rFonts w:hint="eastAsia" w:ascii="宋体" w:hAnsi="宋体"/>
          <w:sz w:val="21"/>
          <w:szCs w:val="21"/>
          <w:lang w:val="en-US" w:eastAsia="zh-CN"/>
        </w:rPr>
        <w:t>5.2.3购买招标文件的潜在投标人</w:t>
      </w:r>
      <w:r>
        <w:rPr>
          <w:rFonts w:hint="eastAsia" w:ascii="宋体" w:hAnsi="宋体"/>
          <w:b/>
          <w:bCs/>
          <w:sz w:val="21"/>
          <w:szCs w:val="21"/>
          <w:lang w:val="en-US" w:eastAsia="zh-CN"/>
        </w:rPr>
        <w:t>请于2017年9月30日至2017年10月10日将投标申请表（附表2）、身份证明、营业执照副本扫描件发送至招标人邮箱</w:t>
      </w:r>
      <w:r>
        <w:rPr>
          <w:rFonts w:hint="eastAsia" w:ascii="宋体" w:hAnsi="宋体"/>
          <w:b/>
          <w:bCs/>
          <w:sz w:val="21"/>
          <w:szCs w:val="21"/>
          <w:highlight w:val="none"/>
          <w:lang w:val="en-US" w:eastAsia="zh-CN"/>
        </w:rPr>
        <w:t>（合肥地铁5号线：496575913@qq.com；延崇高速：340212837@qq.com；太焦铁路：295226886@qq.com）</w:t>
      </w:r>
      <w:r>
        <w:rPr>
          <w:rFonts w:hint="eastAsia" w:ascii="宋体" w:hAnsi="宋体"/>
          <w:sz w:val="21"/>
          <w:szCs w:val="21"/>
          <w:highlight w:val="none"/>
          <w:lang w:val="en-US" w:eastAsia="zh-CN"/>
        </w:rPr>
        <w:t>并根据所需购买包件的招标文件售价足额现金转入到招标人指定账户（</w:t>
      </w:r>
      <w:r>
        <w:rPr>
          <w:rFonts w:hint="eastAsia" w:ascii="宋体" w:hAnsi="宋体"/>
          <w:b/>
          <w:bCs/>
          <w:sz w:val="21"/>
          <w:szCs w:val="21"/>
          <w:highlight w:val="none"/>
          <w:lang w:val="en-US" w:eastAsia="zh-CN"/>
        </w:rPr>
        <w:t>银行信息：开户名称：中铁</w:t>
      </w:r>
      <w:r>
        <w:rPr>
          <w:rFonts w:hint="eastAsia" w:ascii="宋体" w:hAnsi="宋体"/>
          <w:b/>
          <w:bCs/>
          <w:sz w:val="21"/>
          <w:szCs w:val="21"/>
          <w:lang w:val="en-US" w:eastAsia="zh-CN"/>
        </w:rPr>
        <w:t>四局集团第四工程有限公司，开户银行：农行</w:t>
      </w:r>
      <w:r>
        <w:rPr>
          <w:rFonts w:hint="eastAsia" w:ascii="宋体" w:hAnsi="宋体"/>
          <w:b/>
          <w:bCs/>
          <w:sz w:val="21"/>
          <w:szCs w:val="21"/>
          <w:highlight w:val="none"/>
          <w:lang w:val="en-US" w:eastAsia="zh-CN"/>
        </w:rPr>
        <w:t>合肥市新站试验区支行，账号：12081101040002519），在汇款单上注明标书款、项目名称及所投包件号（如标书款、合肥地铁5号线、SPT-01），汇款</w:t>
      </w:r>
      <w:r>
        <w:rPr>
          <w:rFonts w:hint="eastAsia" w:ascii="宋体" w:hAnsi="宋体"/>
          <w:b/>
          <w:bCs/>
          <w:sz w:val="21"/>
          <w:szCs w:val="21"/>
          <w:lang w:val="en-US" w:eastAsia="zh-CN"/>
        </w:rPr>
        <w:t>单位名称与投标人名称须完全一致。</w:t>
      </w:r>
      <w:r>
        <w:rPr>
          <w:rFonts w:hint="eastAsia" w:ascii="宋体" w:hAnsi="宋体"/>
          <w:sz w:val="21"/>
          <w:szCs w:val="21"/>
          <w:lang w:val="en-US" w:eastAsia="zh-CN"/>
        </w:rPr>
        <w:t>投标人可将银行回单扫描件发送至招标组织单位，招标组织单位收到信息经核实后，将电子版招标文件发送至投标人申请表提供的邮箱中。投标人收到电子版招标文件后，应及时回函确认，确认函应加盖单位公章扫描发送至指定邮箱。</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5.3招标文件每套售价详见附表1，招标文件售后不退。</w:t>
      </w:r>
    </w:p>
    <w:p>
      <w:pPr>
        <w:pStyle w:val="2"/>
        <w:pageBreakBefore w:val="0"/>
        <w:kinsoku/>
        <w:wordWrap/>
        <w:overflowPunct/>
        <w:topLinePunct w:val="0"/>
        <w:autoSpaceDE/>
        <w:autoSpaceDN/>
        <w:bidi w:val="0"/>
        <w:adjustRightInd/>
        <w:snapToGrid/>
        <w:spacing w:line="360" w:lineRule="auto"/>
        <w:ind w:left="0" w:leftChars="0" w:right="0" w:rightChars="0"/>
        <w:jc w:val="left"/>
        <w:textAlignment w:val="auto"/>
        <w:rPr>
          <w:rFonts w:hint="eastAsia"/>
          <w:lang w:val="en-US" w:eastAsia="zh-CN"/>
        </w:rPr>
      </w:pPr>
      <w:bookmarkStart w:id="30" w:name="_Toc8651"/>
      <w:bookmarkStart w:id="31" w:name="_Toc17705"/>
      <w:r>
        <w:rPr>
          <w:rFonts w:hint="eastAsia"/>
          <w:lang w:val="en-US" w:eastAsia="zh-CN"/>
        </w:rPr>
        <w:t>6.投标文件的递交</w:t>
      </w:r>
      <w:bookmarkEnd w:id="30"/>
      <w:bookmarkEnd w:id="31"/>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6.1投标文件递交的时间：纸质投标文件递交时间为2017年10月26日上午8时00分，递交投标文件的截止时间为2017年10月26日10时00分（即为开标时间）；投标文件递交地点：合肥市瑶海区张洼路106号中铁四局第四工程有限公司1#楼会议室。</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6.2 逾期送达的或者未送达指定地点的投标文件，招标人不予受理。</w:t>
      </w:r>
    </w:p>
    <w:p>
      <w:pPr>
        <w:pStyle w:val="2"/>
        <w:pageBreakBefore w:val="0"/>
        <w:kinsoku/>
        <w:wordWrap/>
        <w:overflowPunct/>
        <w:topLinePunct w:val="0"/>
        <w:autoSpaceDE/>
        <w:autoSpaceDN/>
        <w:bidi w:val="0"/>
        <w:adjustRightInd/>
        <w:snapToGrid/>
        <w:spacing w:line="360" w:lineRule="auto"/>
        <w:ind w:left="0" w:leftChars="0" w:right="0" w:rightChars="0"/>
        <w:jc w:val="left"/>
        <w:textAlignment w:val="auto"/>
        <w:rPr>
          <w:rFonts w:hint="eastAsia"/>
          <w:lang w:val="en-US" w:eastAsia="zh-CN"/>
        </w:rPr>
      </w:pPr>
      <w:bookmarkStart w:id="32" w:name="_Toc6921"/>
      <w:bookmarkStart w:id="33" w:name="_Toc27014"/>
      <w:r>
        <w:rPr>
          <w:rFonts w:hint="eastAsia"/>
          <w:lang w:val="en-US" w:eastAsia="zh-CN"/>
        </w:rPr>
        <w:t>7.发布公告的媒介</w:t>
      </w:r>
      <w:bookmarkEnd w:id="32"/>
      <w:bookmarkEnd w:id="33"/>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本次招标公告在中国采购与招标网（www.chinabidding.com.cn）和中国中铁电子商务采购平台（www.crecgec.com）同时发布。</w:t>
      </w:r>
    </w:p>
    <w:p>
      <w:pPr>
        <w:pStyle w:val="2"/>
        <w:pageBreakBefore w:val="0"/>
        <w:kinsoku/>
        <w:wordWrap/>
        <w:overflowPunct/>
        <w:topLinePunct w:val="0"/>
        <w:autoSpaceDE/>
        <w:autoSpaceDN/>
        <w:bidi w:val="0"/>
        <w:adjustRightInd/>
        <w:snapToGrid/>
        <w:spacing w:afterAutospacing="0" w:line="360" w:lineRule="auto"/>
        <w:ind w:left="0" w:leftChars="0" w:right="0" w:rightChars="0"/>
        <w:jc w:val="left"/>
        <w:textAlignment w:val="auto"/>
        <w:rPr>
          <w:rFonts w:hint="eastAsia"/>
          <w:lang w:val="en-US" w:eastAsia="zh-CN"/>
        </w:rPr>
      </w:pPr>
      <w:bookmarkStart w:id="34" w:name="_Toc19503"/>
      <w:r>
        <w:rPr>
          <w:rFonts w:hint="eastAsia"/>
          <w:lang w:val="en-US" w:eastAsia="zh-CN"/>
        </w:rPr>
        <w:t>8.招标人信息及相关单位联系方式</w:t>
      </w:r>
      <w:bookmarkEnd w:id="34"/>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招标人：合肥市轨道交通工程5号线土建TJ-04标项目部</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联系人：罗林</w:t>
      </w:r>
      <w:r>
        <w:rPr>
          <w:rFonts w:hint="eastAsia" w:ascii="宋体" w:hAnsi="宋体"/>
          <w:sz w:val="21"/>
          <w:szCs w:val="21"/>
          <w:lang w:val="en-US" w:eastAsia="zh-CN"/>
        </w:rPr>
        <w:tab/>
      </w:r>
      <w:r>
        <w:rPr>
          <w:rFonts w:hint="eastAsia" w:ascii="宋体" w:hAnsi="宋体"/>
          <w:sz w:val="21"/>
          <w:szCs w:val="21"/>
          <w:lang w:val="en-US" w:eastAsia="zh-CN"/>
        </w:rPr>
        <w:t xml:space="preserve">           联系电话：18226633799</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联系地址：合肥市南二环与宿松路望湖美家居东门对面（原裕林宾馆）</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招标人：延崇高速河北段ZT8合同项目部</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联系人：王军盈        联系电话：13805694259</w:t>
      </w:r>
    </w:p>
    <w:p>
      <w:pPr>
        <w:keepNext w:val="0"/>
        <w:keepLines w:val="0"/>
        <w:widowControl/>
        <w:suppressLineNumbers w:val="0"/>
        <w:ind w:firstLine="420" w:firstLineChars="200"/>
        <w:jc w:val="left"/>
        <w:rPr>
          <w:rFonts w:hint="eastAsia" w:ascii="宋体" w:hAnsi="宋体"/>
          <w:sz w:val="21"/>
          <w:szCs w:val="21"/>
          <w:lang w:val="en-US" w:eastAsia="zh-CN"/>
        </w:rPr>
      </w:pPr>
      <w:r>
        <w:rPr>
          <w:rFonts w:hint="eastAsia" w:ascii="宋体" w:hAnsi="宋体"/>
          <w:sz w:val="21"/>
          <w:szCs w:val="21"/>
          <w:lang w:val="en-US" w:eastAsia="zh-CN"/>
        </w:rPr>
        <w:t>联系地址：张家口市赤城县炮梁乡小张家口村</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招标人：中铁四局集团有限公司太焦铁路TJZQ-8标项目经理部</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联系人：唐全得</w:t>
      </w:r>
      <w:r>
        <w:rPr>
          <w:rFonts w:hint="eastAsia" w:ascii="宋体" w:hAnsi="宋体"/>
          <w:sz w:val="21"/>
          <w:szCs w:val="21"/>
          <w:lang w:val="en-US" w:eastAsia="zh-CN"/>
        </w:rPr>
        <w:tab/>
      </w:r>
      <w:r>
        <w:rPr>
          <w:rFonts w:hint="eastAsia" w:ascii="宋体" w:hAnsi="宋体"/>
          <w:sz w:val="21"/>
          <w:szCs w:val="21"/>
          <w:lang w:val="en-US" w:eastAsia="zh-CN"/>
        </w:rPr>
        <w:t xml:space="preserve">           联系电话：15075274478</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联系地址：山西省长治市长治县苏店镇</w:t>
      </w:r>
    </w:p>
    <w:p>
      <w:pPr>
        <w:keepNext w:val="0"/>
        <w:keepLines w:val="0"/>
        <w:pageBreakBefore w:val="0"/>
        <w:widowControl/>
        <w:kinsoku/>
        <w:wordWrap/>
        <w:overflowPunct/>
        <w:topLinePunct w:val="0"/>
        <w:autoSpaceDE/>
        <w:autoSpaceDN/>
        <w:bidi w:val="0"/>
        <w:snapToGrid w:val="0"/>
        <w:spacing w:afterAutospacing="0" w:line="440" w:lineRule="exact"/>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sz w:val="21"/>
          <w:szCs w:val="21"/>
          <w:lang w:val="en-US" w:eastAsia="zh-CN"/>
        </w:rPr>
        <w:t xml:space="preserve">                                         </w:t>
      </w:r>
      <w:r>
        <w:rPr>
          <w:rFonts w:hint="eastAsia" w:ascii="宋体" w:hAnsi="宋体" w:eastAsia="宋体" w:cs="宋体"/>
          <w:sz w:val="21"/>
          <w:szCs w:val="21"/>
          <w:lang w:val="en-US" w:eastAsia="zh-CN"/>
        </w:rPr>
        <w:t xml:space="preserve">   </w:t>
      </w:r>
    </w:p>
    <w:p>
      <w:pPr>
        <w:keepNext w:val="0"/>
        <w:keepLines w:val="0"/>
        <w:pageBreakBefore w:val="0"/>
        <w:widowControl/>
        <w:kinsoku/>
        <w:wordWrap/>
        <w:overflowPunct/>
        <w:topLinePunct w:val="0"/>
        <w:autoSpaceDE/>
        <w:autoSpaceDN/>
        <w:bidi w:val="0"/>
        <w:snapToGrid w:val="0"/>
        <w:spacing w:afterAutospacing="0" w:line="440" w:lineRule="exact"/>
        <w:ind w:left="0" w:leftChars="0" w:right="0" w:rightChars="0" w:firstLine="420" w:firstLineChars="200"/>
        <w:jc w:val="left"/>
        <w:textAlignment w:val="auto"/>
        <w:outlineLvl w:val="9"/>
        <w:rPr>
          <w:rFonts w:hint="eastAsia" w:ascii="宋体" w:hAnsi="宋体" w:eastAsia="宋体" w:cs="宋体"/>
          <w:sz w:val="21"/>
          <w:szCs w:val="21"/>
          <w:lang w:val="en-US" w:eastAsia="zh-CN"/>
        </w:rPr>
      </w:pPr>
    </w:p>
    <w:p>
      <w:pPr>
        <w:keepNext w:val="0"/>
        <w:keepLines w:val="0"/>
        <w:pageBreakBefore w:val="0"/>
        <w:widowControl/>
        <w:kinsoku/>
        <w:wordWrap/>
        <w:overflowPunct/>
        <w:topLinePunct w:val="0"/>
        <w:autoSpaceDE/>
        <w:autoSpaceDN/>
        <w:bidi w:val="0"/>
        <w:snapToGrid w:val="0"/>
        <w:spacing w:afterAutospacing="0" w:line="440" w:lineRule="exact"/>
        <w:ind w:left="0" w:leftChars="0" w:right="0" w:rightChars="0" w:firstLine="420" w:firstLineChars="200"/>
        <w:jc w:val="right"/>
        <w:textAlignment w:val="auto"/>
        <w:outlineLvl w:val="9"/>
        <w:rPr>
          <w:rFonts w:hint="eastAsia" w:ascii="宋体" w:hAnsi="宋体" w:eastAsia="宋体" w:cs="宋体"/>
          <w:kern w:val="0"/>
          <w:sz w:val="21"/>
          <w:szCs w:val="21"/>
        </w:rPr>
      </w:pPr>
      <w:r>
        <w:rPr>
          <w:rFonts w:hint="eastAsia" w:ascii="宋体" w:hAnsi="宋体" w:eastAsia="宋体" w:cs="宋体"/>
          <w:sz w:val="21"/>
          <w:szCs w:val="21"/>
          <w:lang w:val="en-US" w:eastAsia="zh-CN"/>
        </w:rPr>
        <w:t>中铁四局集团第四工程有限公司</w:t>
      </w:r>
    </w:p>
    <w:p>
      <w:pPr>
        <w:keepNext w:val="0"/>
        <w:keepLines w:val="0"/>
        <w:pageBreakBefore w:val="0"/>
        <w:kinsoku/>
        <w:wordWrap/>
        <w:overflowPunct/>
        <w:topLinePunct w:val="0"/>
        <w:autoSpaceDE/>
        <w:autoSpaceDN/>
        <w:bidi w:val="0"/>
        <w:adjustRightInd w:val="0"/>
        <w:snapToGrid w:val="0"/>
        <w:spacing w:afterAutospacing="0" w:line="440" w:lineRule="exact"/>
        <w:ind w:left="0" w:leftChars="0" w:right="0" w:rightChars="0" w:firstLine="420" w:firstLineChars="200"/>
        <w:jc w:val="right"/>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 xml:space="preserve">            </w:t>
      </w:r>
      <w:bookmarkEnd w:id="11"/>
      <w:bookmarkEnd w:id="12"/>
      <w:bookmarkEnd w:id="13"/>
      <w:bookmarkEnd w:id="14"/>
      <w:bookmarkEnd w:id="15"/>
      <w:bookmarkEnd w:id="16"/>
      <w:bookmarkEnd w:id="17"/>
      <w:bookmarkStart w:id="35" w:name="_Toc291262027"/>
      <w:bookmarkStart w:id="36" w:name="_Toc299874003"/>
      <w:r>
        <w:rPr>
          <w:rFonts w:hint="eastAsia" w:ascii="宋体" w:hAnsi="宋体" w:eastAsia="宋体" w:cs="宋体"/>
          <w:kern w:val="0"/>
          <w:sz w:val="21"/>
          <w:szCs w:val="21"/>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二○一</w:t>
      </w:r>
      <w:r>
        <w:rPr>
          <w:rFonts w:hint="eastAsia" w:ascii="宋体" w:hAnsi="宋体" w:eastAsia="宋体" w:cs="宋体"/>
          <w:sz w:val="21"/>
          <w:szCs w:val="21"/>
          <w:lang w:val="en-US" w:eastAsia="zh-CN"/>
        </w:rPr>
        <w:t>七</w:t>
      </w:r>
      <w:r>
        <w:rPr>
          <w:rFonts w:hint="eastAsia" w:ascii="宋体" w:hAnsi="宋体" w:eastAsia="宋体" w:cs="宋体"/>
          <w:sz w:val="21"/>
          <w:szCs w:val="21"/>
        </w:rPr>
        <w:t>年</w:t>
      </w:r>
      <w:r>
        <w:rPr>
          <w:rFonts w:hint="eastAsia" w:ascii="宋体" w:hAnsi="宋体" w:eastAsia="宋体" w:cs="宋体"/>
          <w:sz w:val="21"/>
          <w:szCs w:val="21"/>
          <w:lang w:val="en-US" w:eastAsia="zh-CN"/>
        </w:rPr>
        <w:t>九</w:t>
      </w:r>
      <w:r>
        <w:rPr>
          <w:rFonts w:hint="eastAsia" w:ascii="宋体" w:hAnsi="宋体" w:eastAsia="宋体" w:cs="宋体"/>
          <w:sz w:val="21"/>
          <w:szCs w:val="21"/>
        </w:rPr>
        <w:t>月</w:t>
      </w:r>
      <w:r>
        <w:rPr>
          <w:rFonts w:hint="eastAsia" w:ascii="宋体" w:hAnsi="宋体" w:eastAsia="宋体" w:cs="宋体"/>
          <w:sz w:val="21"/>
          <w:szCs w:val="21"/>
          <w:lang w:val="en-US" w:eastAsia="zh-CN"/>
        </w:rPr>
        <w:t>二十八</w:t>
      </w:r>
      <w:r>
        <w:rPr>
          <w:rFonts w:hint="eastAsia" w:ascii="宋体" w:hAnsi="宋体" w:eastAsia="宋体" w:cs="宋体"/>
          <w:sz w:val="21"/>
          <w:szCs w:val="21"/>
        </w:rPr>
        <w:t>日</w:t>
      </w:r>
    </w:p>
    <w:p>
      <w:pPr>
        <w:pageBreakBefore w:val="0"/>
        <w:widowControl/>
        <w:kinsoku/>
        <w:wordWrap/>
        <w:overflowPunct/>
        <w:topLinePunct w:val="0"/>
        <w:autoSpaceDE/>
        <w:autoSpaceDN/>
        <w:bidi w:val="0"/>
        <w:spacing w:afterAutospacing="0" w:line="440" w:lineRule="exact"/>
        <w:ind w:left="0" w:leftChars="0" w:right="0" w:rightChars="0"/>
        <w:jc w:val="right"/>
        <w:textAlignment w:val="auto"/>
        <w:rPr>
          <w:rFonts w:hint="eastAsia" w:ascii="宋体" w:hAnsi="宋体" w:eastAsia="宋体" w:cs="宋体"/>
          <w:sz w:val="21"/>
          <w:szCs w:val="21"/>
        </w:rPr>
        <w:sectPr>
          <w:pgSz w:w="11906" w:h="16838"/>
          <w:pgMar w:top="1440" w:right="1418" w:bottom="1440" w:left="1418" w:header="851" w:footer="992" w:gutter="0"/>
          <w:cols w:space="720" w:num="1"/>
          <w:docGrid w:type="lines" w:linePitch="312" w:charSpace="0"/>
        </w:sectPr>
      </w:pPr>
    </w:p>
    <w:bookmarkEnd w:id="40"/>
    <w:p>
      <w:pPr>
        <w:pageBreakBefore w:val="0"/>
        <w:widowControl/>
        <w:kinsoku/>
        <w:wordWrap/>
        <w:overflowPunct/>
        <w:bidi w:val="0"/>
        <w:snapToGrid w:val="0"/>
        <w:spacing w:afterAutospacing="0" w:line="440" w:lineRule="exact"/>
        <w:jc w:val="left"/>
        <w:outlineLvl w:val="1"/>
        <w:rPr>
          <w:rFonts w:ascii="宋体" w:cs="宋体"/>
          <w:b/>
          <w:bCs/>
          <w:kern w:val="0"/>
          <w:sz w:val="24"/>
        </w:rPr>
      </w:pPr>
      <w:bookmarkStart w:id="37" w:name="_Toc375928152"/>
      <w:bookmarkStart w:id="38" w:name="_Toc18198"/>
      <w:bookmarkStart w:id="39" w:name="_Toc372618723"/>
      <w:r>
        <w:rPr>
          <w:rStyle w:val="6"/>
          <w:rFonts w:hint="eastAsia"/>
        </w:rPr>
        <w:t>附表</w:t>
      </w:r>
      <w:r>
        <w:rPr>
          <w:rStyle w:val="6"/>
        </w:rPr>
        <w:t>1</w:t>
      </w:r>
      <w:bookmarkEnd w:id="37"/>
      <w:bookmarkEnd w:id="38"/>
      <w:r>
        <w:rPr>
          <w:rStyle w:val="6"/>
        </w:rPr>
        <w:t xml:space="preserve">   </w:t>
      </w:r>
      <w:r>
        <w:rPr>
          <w:rFonts w:ascii="宋体" w:hAnsi="宋体" w:cs="宋体"/>
          <w:b/>
          <w:bCs/>
          <w:kern w:val="0"/>
          <w:sz w:val="24"/>
        </w:rPr>
        <w:t xml:space="preserve">                                        </w:t>
      </w:r>
    </w:p>
    <w:p>
      <w:pPr>
        <w:pageBreakBefore w:val="0"/>
        <w:widowControl/>
        <w:kinsoku/>
        <w:wordWrap/>
        <w:overflowPunct/>
        <w:bidi w:val="0"/>
        <w:snapToGrid w:val="0"/>
        <w:spacing w:afterAutospacing="0" w:line="440" w:lineRule="exact"/>
        <w:jc w:val="center"/>
        <w:rPr>
          <w:rFonts w:ascii="宋体" w:cs="宋体"/>
          <w:b/>
          <w:bCs/>
          <w:kern w:val="0"/>
          <w:sz w:val="24"/>
        </w:rPr>
      </w:pPr>
      <w:r>
        <w:rPr>
          <w:rFonts w:hint="eastAsia" w:ascii="宋体" w:hAnsi="宋体" w:cs="宋体"/>
          <w:b/>
          <w:bCs/>
          <w:kern w:val="0"/>
          <w:sz w:val="24"/>
        </w:rPr>
        <w:t>招标物资包件划分表</w:t>
      </w:r>
      <w:bookmarkEnd w:id="39"/>
    </w:p>
    <w:tbl>
      <w:tblPr>
        <w:tblStyle w:val="5"/>
        <w:tblW w:w="14651" w:type="dxa"/>
        <w:tblInd w:w="0" w:type="dxa"/>
        <w:tblLayout w:type="fixed"/>
        <w:tblCellMar>
          <w:top w:w="15" w:type="dxa"/>
          <w:left w:w="15" w:type="dxa"/>
          <w:bottom w:w="15" w:type="dxa"/>
          <w:right w:w="15" w:type="dxa"/>
        </w:tblCellMar>
      </w:tblPr>
      <w:tblGrid>
        <w:gridCol w:w="565"/>
        <w:gridCol w:w="1500"/>
        <w:gridCol w:w="933"/>
        <w:gridCol w:w="717"/>
        <w:gridCol w:w="915"/>
        <w:gridCol w:w="5916"/>
        <w:gridCol w:w="1599"/>
        <w:gridCol w:w="1305"/>
        <w:gridCol w:w="1196"/>
        <w:gridCol w:w="5"/>
      </w:tblGrid>
      <w:tr>
        <w:tblPrEx>
          <w:tblLayout w:type="fixed"/>
          <w:tblCellMar>
            <w:top w:w="15" w:type="dxa"/>
            <w:left w:w="15" w:type="dxa"/>
            <w:bottom w:w="15" w:type="dxa"/>
            <w:right w:w="15" w:type="dxa"/>
          </w:tblCellMar>
        </w:tblPrEx>
        <w:trPr>
          <w:gridAfter w:val="1"/>
          <w:wAfter w:w="5" w:type="dxa"/>
          <w:trHeight w:val="794" w:hRule="atLeast"/>
          <w:tblHeader/>
        </w:trPr>
        <w:tc>
          <w:tcPr>
            <w:tcW w:w="56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kern w:val="0"/>
                <w:szCs w:val="21"/>
              </w:rPr>
            </w:pPr>
            <w:r>
              <w:rPr>
                <w:rFonts w:hint="eastAsia" w:ascii="宋体" w:hAnsi="宋体" w:cs="宋体"/>
                <w:b/>
                <w:kern w:val="0"/>
                <w:szCs w:val="21"/>
              </w:rPr>
              <w:t>序</w:t>
            </w:r>
          </w:p>
          <w:p>
            <w:pPr>
              <w:widowControl/>
              <w:jc w:val="center"/>
              <w:textAlignment w:val="center"/>
              <w:rPr>
                <w:rFonts w:hint="eastAsia" w:ascii="宋体" w:hAnsi="宋体" w:cs="宋体"/>
                <w:b/>
                <w:szCs w:val="21"/>
              </w:rPr>
            </w:pPr>
            <w:r>
              <w:rPr>
                <w:rFonts w:hint="eastAsia" w:ascii="宋体" w:hAnsi="宋体" w:cs="宋体"/>
                <w:b/>
                <w:kern w:val="0"/>
                <w:szCs w:val="21"/>
              </w:rPr>
              <w:t>号</w:t>
            </w:r>
          </w:p>
        </w:tc>
        <w:tc>
          <w:tcPr>
            <w:tcW w:w="150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kern w:val="0"/>
                <w:szCs w:val="21"/>
              </w:rPr>
            </w:pPr>
            <w:r>
              <w:rPr>
                <w:rFonts w:hint="eastAsia" w:ascii="宋体" w:hAnsi="宋体" w:cs="宋体"/>
                <w:b/>
                <w:kern w:val="0"/>
                <w:szCs w:val="21"/>
              </w:rPr>
              <w:t>物资</w:t>
            </w:r>
          </w:p>
          <w:p>
            <w:pPr>
              <w:widowControl/>
              <w:jc w:val="center"/>
              <w:textAlignment w:val="center"/>
              <w:rPr>
                <w:rFonts w:hint="eastAsia" w:ascii="宋体" w:hAnsi="宋体" w:cs="宋体"/>
                <w:b/>
                <w:szCs w:val="21"/>
              </w:rPr>
            </w:pPr>
            <w:r>
              <w:rPr>
                <w:rFonts w:hint="eastAsia" w:ascii="宋体" w:hAnsi="宋体" w:cs="宋体"/>
                <w:b/>
                <w:kern w:val="0"/>
                <w:szCs w:val="21"/>
              </w:rPr>
              <w:t>名称</w:t>
            </w:r>
          </w:p>
        </w:tc>
        <w:tc>
          <w:tcPr>
            <w:tcW w:w="93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szCs w:val="21"/>
              </w:rPr>
            </w:pPr>
            <w:r>
              <w:rPr>
                <w:rFonts w:hint="eastAsia" w:ascii="宋体" w:hAnsi="宋体" w:cs="宋体"/>
                <w:b/>
                <w:kern w:val="0"/>
                <w:szCs w:val="21"/>
              </w:rPr>
              <w:t>包件号</w:t>
            </w:r>
          </w:p>
        </w:tc>
        <w:tc>
          <w:tcPr>
            <w:tcW w:w="71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kern w:val="0"/>
                <w:szCs w:val="21"/>
              </w:rPr>
            </w:pPr>
            <w:r>
              <w:rPr>
                <w:rFonts w:hint="eastAsia" w:ascii="宋体" w:hAnsi="宋体" w:cs="宋体"/>
                <w:b/>
                <w:kern w:val="0"/>
                <w:szCs w:val="21"/>
              </w:rPr>
              <w:t>计量</w:t>
            </w:r>
          </w:p>
          <w:p>
            <w:pPr>
              <w:widowControl/>
              <w:jc w:val="center"/>
              <w:textAlignment w:val="center"/>
              <w:rPr>
                <w:rFonts w:hint="eastAsia" w:ascii="宋体" w:hAnsi="宋体" w:cs="宋体"/>
                <w:b/>
                <w:szCs w:val="21"/>
              </w:rPr>
            </w:pPr>
            <w:r>
              <w:rPr>
                <w:rFonts w:hint="eastAsia" w:ascii="宋体" w:hAnsi="宋体" w:cs="宋体"/>
                <w:b/>
                <w:kern w:val="0"/>
                <w:szCs w:val="21"/>
              </w:rPr>
              <w:t>单位</w:t>
            </w:r>
          </w:p>
        </w:tc>
        <w:tc>
          <w:tcPr>
            <w:tcW w:w="91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sz w:val="22"/>
                <w:szCs w:val="22"/>
              </w:rPr>
            </w:pPr>
            <w:r>
              <w:rPr>
                <w:rFonts w:hint="eastAsia" w:ascii="宋体" w:hAnsi="宋体" w:cs="宋体"/>
                <w:b/>
                <w:kern w:val="0"/>
                <w:sz w:val="22"/>
                <w:szCs w:val="22"/>
              </w:rPr>
              <w:t>包件总量</w:t>
            </w:r>
          </w:p>
        </w:tc>
        <w:tc>
          <w:tcPr>
            <w:tcW w:w="591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szCs w:val="21"/>
              </w:rPr>
            </w:pPr>
            <w:r>
              <w:rPr>
                <w:rFonts w:hint="eastAsia" w:ascii="宋体" w:hAnsi="宋体" w:cs="宋体"/>
                <w:b/>
                <w:kern w:val="0"/>
                <w:szCs w:val="21"/>
              </w:rPr>
              <w:t>投标人资格条件</w:t>
            </w:r>
          </w:p>
        </w:tc>
        <w:tc>
          <w:tcPr>
            <w:tcW w:w="159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b/>
                <w:kern w:val="0"/>
                <w:szCs w:val="21"/>
                <w:lang w:eastAsia="zh-CN"/>
              </w:rPr>
            </w:pPr>
            <w:r>
              <w:rPr>
                <w:rFonts w:hint="eastAsia" w:ascii="宋体" w:hAnsi="宋体" w:cs="宋体"/>
                <w:b/>
                <w:kern w:val="0"/>
                <w:szCs w:val="21"/>
                <w:lang w:eastAsia="zh-CN"/>
              </w:rPr>
              <w:t>收货人</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szCs w:val="21"/>
              </w:rPr>
            </w:pPr>
            <w:r>
              <w:rPr>
                <w:rFonts w:hint="eastAsia" w:ascii="宋体" w:hAnsi="宋体" w:cs="宋体"/>
                <w:b/>
                <w:kern w:val="0"/>
                <w:szCs w:val="21"/>
              </w:rPr>
              <w:t>招标文件售价</w:t>
            </w:r>
            <w:r>
              <w:rPr>
                <w:rFonts w:hint="eastAsia" w:ascii="宋体" w:hAnsi="宋体" w:cs="宋体"/>
                <w:b/>
                <w:kern w:val="0"/>
                <w:szCs w:val="21"/>
              </w:rPr>
              <w:br w:type="textWrapping"/>
            </w:r>
            <w:r>
              <w:rPr>
                <w:rFonts w:hint="eastAsia" w:ascii="宋体" w:hAnsi="宋体" w:cs="宋体"/>
                <w:b/>
                <w:kern w:val="0"/>
                <w:szCs w:val="21"/>
              </w:rPr>
              <w:t>（元）</w:t>
            </w:r>
          </w:p>
        </w:tc>
        <w:tc>
          <w:tcPr>
            <w:tcW w:w="119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kern w:val="0"/>
                <w:szCs w:val="21"/>
                <w:lang w:eastAsia="zh-CN"/>
              </w:rPr>
            </w:pPr>
            <w:r>
              <w:rPr>
                <w:rFonts w:hint="eastAsia" w:ascii="宋体" w:hAnsi="宋体" w:cs="宋体"/>
                <w:b/>
                <w:kern w:val="0"/>
                <w:szCs w:val="21"/>
                <w:lang w:eastAsia="zh-CN"/>
              </w:rPr>
              <w:t>投标保证金</w:t>
            </w:r>
          </w:p>
          <w:p>
            <w:pPr>
              <w:widowControl/>
              <w:jc w:val="center"/>
              <w:textAlignment w:val="center"/>
              <w:rPr>
                <w:rFonts w:hint="eastAsia" w:ascii="宋体" w:hAnsi="宋体" w:eastAsia="宋体" w:cs="宋体"/>
                <w:b/>
                <w:kern w:val="0"/>
                <w:szCs w:val="21"/>
                <w:lang w:eastAsia="zh-CN"/>
              </w:rPr>
            </w:pPr>
            <w:r>
              <w:rPr>
                <w:rFonts w:hint="eastAsia" w:ascii="宋体" w:hAnsi="宋体" w:cs="宋体"/>
                <w:b/>
                <w:kern w:val="0"/>
                <w:szCs w:val="21"/>
                <w:lang w:eastAsia="zh-CN"/>
              </w:rPr>
              <w:t>（元</w:t>
            </w:r>
            <w:r>
              <w:rPr>
                <w:rFonts w:hint="eastAsia" w:ascii="宋体" w:hAnsi="宋体" w:cs="宋体"/>
                <w:b/>
                <w:kern w:val="0"/>
                <w:szCs w:val="21"/>
                <w:lang w:val="en-US" w:eastAsia="zh-CN"/>
              </w:rPr>
              <w:t>）</w:t>
            </w:r>
          </w:p>
        </w:tc>
      </w:tr>
      <w:tr>
        <w:tblPrEx>
          <w:tblLayout w:type="fixed"/>
          <w:tblCellMar>
            <w:top w:w="15" w:type="dxa"/>
            <w:left w:w="15" w:type="dxa"/>
            <w:bottom w:w="15" w:type="dxa"/>
            <w:right w:w="15" w:type="dxa"/>
          </w:tblCellMar>
        </w:tblPrEx>
        <w:trPr>
          <w:gridAfter w:val="1"/>
          <w:wAfter w:w="5" w:type="dxa"/>
          <w:trHeight w:val="2902" w:hRule="exact"/>
        </w:trPr>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w:t>
            </w: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eastAsia="zh-CN"/>
              </w:rPr>
            </w:pPr>
            <w:r>
              <w:rPr>
                <w:rFonts w:hint="eastAsia" w:ascii="宋体" w:hAnsi="宋体" w:cs="宋体"/>
                <w:sz w:val="21"/>
                <w:szCs w:val="21"/>
                <w:lang w:eastAsia="zh-CN"/>
              </w:rPr>
              <w:t>商品砼</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cs="宋体"/>
                <w:sz w:val="21"/>
                <w:szCs w:val="21"/>
                <w:lang w:val="en-US" w:eastAsia="zh-CN"/>
              </w:rPr>
              <w:t>SPT-01</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cs="宋体"/>
                <w:sz w:val="21"/>
                <w:szCs w:val="21"/>
                <w:lang w:val="en-US" w:eastAsia="zh-CN"/>
              </w:rPr>
              <w:t>m3</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Cs/>
                <w:sz w:val="21"/>
                <w:szCs w:val="21"/>
                <w:lang w:val="en-US" w:eastAsia="zh-CN"/>
              </w:rPr>
              <w:t>67000</w:t>
            </w:r>
          </w:p>
        </w:tc>
        <w:tc>
          <w:tcPr>
            <w:tcW w:w="59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生产能力要求：生产厂须具备投标物资年产50万立方米以上的生产能力，生产工艺、装备必须符合国家相关行业发展政策的相关规定，具有预拌商品混凝土企业资质。</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财务能力要求：具有良好的资金财务状况，注册资金不低于1000万元。</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s="宋体"/>
                <w:sz w:val="21"/>
                <w:szCs w:val="21"/>
                <w:lang w:val="en-US" w:eastAsia="zh-CN"/>
              </w:rPr>
            </w:pPr>
            <w:r>
              <w:rPr>
                <w:rFonts w:hint="eastAsia" w:ascii="宋体" w:hAnsi="宋体"/>
                <w:color w:val="000000"/>
                <w:sz w:val="21"/>
                <w:szCs w:val="21"/>
                <w:lang w:val="en-US" w:eastAsia="zh-CN"/>
              </w:rPr>
              <w:t>3.其他要求：①不接受代理商投标；②出具的三证合一营业执照、生产许可证、ISO9000系列质量证书复印件、检验报告复印件、资格声明等所有资料均须加盖公章（鲜章），否则视为无效。</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eastAsia="zh-CN"/>
              </w:rPr>
              <w:t>合肥市轨道交通工程5号线土建TJ-04标项目部9工区</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500</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350000</w:t>
            </w:r>
          </w:p>
        </w:tc>
      </w:tr>
      <w:tr>
        <w:tblPrEx>
          <w:tblLayout w:type="fixed"/>
          <w:tblCellMar>
            <w:top w:w="15" w:type="dxa"/>
            <w:left w:w="15" w:type="dxa"/>
            <w:bottom w:w="15" w:type="dxa"/>
            <w:right w:w="15" w:type="dxa"/>
          </w:tblCellMar>
        </w:tblPrEx>
        <w:trPr>
          <w:gridAfter w:val="1"/>
          <w:wAfter w:w="5" w:type="dxa"/>
          <w:trHeight w:val="1587" w:hRule="exact"/>
        </w:trPr>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eastAsia="zh-CN"/>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cs="宋体"/>
                <w:sz w:val="21"/>
                <w:szCs w:val="21"/>
                <w:lang w:val="en-US" w:eastAsia="zh-CN"/>
              </w:rPr>
              <w:t>SPT-02</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cs="宋体"/>
                <w:sz w:val="21"/>
                <w:szCs w:val="21"/>
                <w:lang w:val="en-US" w:eastAsia="zh-CN"/>
              </w:rPr>
              <w:t>m3</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cs="宋体"/>
                <w:bCs/>
                <w:sz w:val="21"/>
                <w:szCs w:val="21"/>
                <w:lang w:val="en-US" w:eastAsia="zh-CN"/>
              </w:rPr>
              <w:t>80000</w:t>
            </w:r>
          </w:p>
        </w:tc>
        <w:tc>
          <w:tcPr>
            <w:tcW w:w="5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21"/>
                <w:szCs w:val="21"/>
              </w:rPr>
            </w:pPr>
          </w:p>
        </w:tc>
        <w:tc>
          <w:tcPr>
            <w:tcW w:w="15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eastAsia="zh-CN"/>
              </w:rPr>
              <w:t>合肥市轨道交通工程5号线土建TJ-04标项目部</w:t>
            </w:r>
            <w:r>
              <w:rPr>
                <w:rFonts w:hint="eastAsia" w:ascii="宋体" w:hAnsi="宋体" w:cs="宋体"/>
                <w:sz w:val="21"/>
                <w:szCs w:val="21"/>
                <w:lang w:val="en-US" w:eastAsia="zh-CN"/>
              </w:rPr>
              <w:t>10</w:t>
            </w:r>
            <w:r>
              <w:rPr>
                <w:rFonts w:hint="eastAsia" w:ascii="宋体" w:hAnsi="宋体" w:cs="宋体"/>
                <w:sz w:val="21"/>
                <w:szCs w:val="21"/>
                <w:lang w:eastAsia="zh-CN"/>
              </w:rPr>
              <w:t>、</w:t>
            </w:r>
            <w:r>
              <w:rPr>
                <w:rFonts w:hint="eastAsia" w:ascii="宋体" w:hAnsi="宋体" w:cs="宋体"/>
                <w:sz w:val="21"/>
                <w:szCs w:val="21"/>
                <w:lang w:val="en-US" w:eastAsia="zh-CN"/>
              </w:rPr>
              <w:t>11</w:t>
            </w:r>
            <w:r>
              <w:rPr>
                <w:rFonts w:hint="eastAsia" w:ascii="宋体" w:hAnsi="宋体" w:cs="宋体"/>
                <w:sz w:val="21"/>
                <w:szCs w:val="21"/>
                <w:lang w:eastAsia="zh-CN"/>
              </w:rPr>
              <w:t>工区</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500</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400000</w:t>
            </w:r>
          </w:p>
        </w:tc>
      </w:tr>
      <w:tr>
        <w:tblPrEx>
          <w:tblLayout w:type="fixed"/>
          <w:tblCellMar>
            <w:top w:w="15" w:type="dxa"/>
            <w:left w:w="15" w:type="dxa"/>
            <w:bottom w:w="15" w:type="dxa"/>
            <w:right w:w="15" w:type="dxa"/>
          </w:tblCellMar>
        </w:tblPrEx>
        <w:trPr>
          <w:gridAfter w:val="1"/>
          <w:wAfter w:w="5" w:type="dxa"/>
          <w:trHeight w:val="1587" w:hRule="exact"/>
        </w:trPr>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szCs w:val="21"/>
                <w:lang w:val="en-US" w:eastAsia="zh-CN"/>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szCs w:val="21"/>
                <w:lang w:val="en-US" w:eastAsia="zh-CN"/>
              </w:rPr>
            </w:pPr>
            <w:r>
              <w:rPr>
                <w:rFonts w:hint="eastAsia" w:ascii="宋体" w:hAnsi="宋体" w:cs="宋体"/>
                <w:sz w:val="21"/>
                <w:szCs w:val="21"/>
                <w:lang w:val="en-US" w:eastAsia="zh-CN"/>
              </w:rPr>
              <w:t>SPT-03</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szCs w:val="21"/>
                <w:lang w:val="en-US" w:eastAsia="zh-CN"/>
              </w:rPr>
            </w:pPr>
            <w:r>
              <w:rPr>
                <w:rFonts w:hint="eastAsia" w:ascii="宋体" w:hAnsi="宋体" w:cs="宋体"/>
                <w:sz w:val="21"/>
                <w:szCs w:val="21"/>
                <w:lang w:val="en-US" w:eastAsia="zh-CN"/>
              </w:rPr>
              <w:t>m3</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cs="宋体"/>
                <w:bCs/>
                <w:sz w:val="21"/>
                <w:szCs w:val="21"/>
                <w:lang w:val="en-US" w:eastAsia="zh-CN"/>
              </w:rPr>
              <w:t>80000</w:t>
            </w:r>
          </w:p>
        </w:tc>
        <w:tc>
          <w:tcPr>
            <w:tcW w:w="5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21"/>
                <w:szCs w:val="21"/>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500</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400000</w:t>
            </w:r>
          </w:p>
        </w:tc>
      </w:tr>
      <w:tr>
        <w:tblPrEx>
          <w:tblLayout w:type="fixed"/>
          <w:tblCellMar>
            <w:top w:w="15" w:type="dxa"/>
            <w:left w:w="15" w:type="dxa"/>
            <w:bottom w:w="15" w:type="dxa"/>
            <w:right w:w="15" w:type="dxa"/>
          </w:tblCellMar>
        </w:tblPrEx>
        <w:trPr>
          <w:gridAfter w:val="1"/>
          <w:wAfter w:w="5" w:type="dxa"/>
          <w:trHeight w:val="1587" w:hRule="exact"/>
        </w:trPr>
        <w:tc>
          <w:tcPr>
            <w:tcW w:w="565"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szCs w:val="21"/>
                <w:lang w:val="en-US" w:eastAsia="zh-CN"/>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szCs w:val="21"/>
                <w:lang w:val="en-US" w:eastAsia="zh-CN"/>
              </w:rPr>
            </w:pPr>
            <w:r>
              <w:rPr>
                <w:rFonts w:hint="default" w:ascii="宋体" w:hAnsi="宋体" w:cs="宋体"/>
                <w:sz w:val="21"/>
                <w:szCs w:val="21"/>
                <w:lang w:val="en-US" w:eastAsia="zh-CN"/>
              </w:rPr>
              <w:t>SPT-04</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szCs w:val="21"/>
                <w:lang w:val="en-US" w:eastAsia="zh-CN"/>
              </w:rPr>
            </w:pPr>
            <w:r>
              <w:rPr>
                <w:rFonts w:hint="default" w:ascii="宋体" w:hAnsi="宋体" w:cs="宋体"/>
                <w:sz w:val="21"/>
                <w:szCs w:val="21"/>
                <w:lang w:val="en-US" w:eastAsia="zh-CN"/>
              </w:rPr>
              <w:t>m3</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cs="宋体"/>
                <w:bCs/>
                <w:sz w:val="21"/>
                <w:szCs w:val="21"/>
                <w:lang w:val="en-US" w:eastAsia="zh-CN"/>
              </w:rPr>
              <w:t>80000</w:t>
            </w:r>
          </w:p>
        </w:tc>
        <w:tc>
          <w:tcPr>
            <w:tcW w:w="5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21"/>
                <w:szCs w:val="21"/>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500</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400000</w:t>
            </w:r>
          </w:p>
        </w:tc>
      </w:tr>
      <w:tr>
        <w:tblPrEx>
          <w:tblLayout w:type="fixed"/>
          <w:tblCellMar>
            <w:top w:w="15" w:type="dxa"/>
            <w:left w:w="15" w:type="dxa"/>
            <w:bottom w:w="15" w:type="dxa"/>
            <w:right w:w="15" w:type="dxa"/>
          </w:tblCellMar>
        </w:tblPrEx>
        <w:trPr>
          <w:gridAfter w:val="1"/>
          <w:wAfter w:w="5" w:type="dxa"/>
          <w:trHeight w:val="8885" w:hRule="exact"/>
        </w:trPr>
        <w:tc>
          <w:tcPr>
            <w:tcW w:w="565"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both"/>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p>
          <w:p>
            <w:pPr>
              <w:widowControl/>
              <w:jc w:val="center"/>
              <w:textAlignment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5</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建筑</w:t>
            </w:r>
          </w:p>
          <w:p>
            <w:pPr>
              <w:spacing w:line="320" w:lineRule="exact"/>
              <w:jc w:val="center"/>
              <w:rPr>
                <w:rFonts w:hint="eastAsia" w:ascii="宋体" w:hAnsi="宋体" w:cs="宋体"/>
                <w:b w:val="0"/>
                <w:bCs/>
                <w:szCs w:val="21"/>
                <w:lang w:val="en-US" w:eastAsia="zh-CN"/>
              </w:rPr>
            </w:pPr>
            <w:r>
              <w:rPr>
                <w:rFonts w:hint="eastAsia" w:ascii="宋体" w:hAnsi="宋体" w:cs="宋体"/>
                <w:szCs w:val="21"/>
              </w:rPr>
              <w:t>钢材</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s="宋体"/>
                <w:sz w:val="21"/>
                <w:szCs w:val="21"/>
                <w:lang w:val="en-US" w:eastAsia="zh-CN"/>
              </w:rPr>
            </w:pPr>
            <w:r>
              <w:rPr>
                <w:rFonts w:hint="eastAsia" w:ascii="宋体" w:hAnsi="宋体" w:cs="宋体"/>
                <w:szCs w:val="21"/>
              </w:rPr>
              <w:t>GC-01</w:t>
            </w:r>
          </w:p>
        </w:tc>
        <w:tc>
          <w:tcPr>
            <w:tcW w:w="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s="宋体"/>
                <w:sz w:val="21"/>
                <w:szCs w:val="21"/>
                <w:lang w:val="en-US" w:eastAsia="zh-CN"/>
              </w:rPr>
            </w:pPr>
            <w:r>
              <w:rPr>
                <w:rFonts w:hint="eastAsia" w:ascii="宋体" w:hAnsi="宋体" w:cs="宋体"/>
                <w:szCs w:val="21"/>
              </w:rPr>
              <w:t>吨</w:t>
            </w:r>
          </w:p>
        </w:tc>
        <w:tc>
          <w:tcPr>
            <w:tcW w:w="9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s="宋体"/>
                <w:bCs/>
                <w:sz w:val="21"/>
                <w:szCs w:val="21"/>
                <w:lang w:val="en-US" w:eastAsia="zh-CN"/>
              </w:rPr>
            </w:pPr>
            <w:r>
              <w:rPr>
                <w:rFonts w:hint="eastAsia" w:ascii="宋体" w:hAnsi="宋体" w:cs="宋体"/>
                <w:color w:val="000000"/>
                <w:szCs w:val="21"/>
              </w:rPr>
              <w:t>3170</w:t>
            </w:r>
          </w:p>
        </w:tc>
        <w:tc>
          <w:tcPr>
            <w:tcW w:w="5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s="宋体"/>
                <w:sz w:val="21"/>
                <w:szCs w:val="21"/>
              </w:rPr>
            </w:pPr>
            <w:r>
              <w:rPr>
                <w:rFonts w:hint="eastAsia" w:ascii="宋体" w:hAnsi="宋体"/>
                <w:color w:val="000000"/>
                <w:sz w:val="21"/>
                <w:szCs w:val="21"/>
                <w:lang w:val="en-US" w:eastAsia="zh-CN"/>
              </w:rPr>
              <w:t>1．生产能力：投标产品生产厂须具备长材年产100万吨以上的生产能力，自身具有与钢材产能配套的炼钢能力，生产工艺、装备必须符合国家钢铁产业发展政策的相关规定，具有有效的投标产品全国工业产品生产许可证。</w:t>
            </w:r>
            <w:r>
              <w:rPr>
                <w:rFonts w:hint="eastAsia" w:ascii="宋体" w:hAnsi="宋体"/>
                <w:color w:val="000000"/>
                <w:sz w:val="21"/>
                <w:szCs w:val="21"/>
                <w:lang w:val="en-US" w:eastAsia="zh-CN"/>
              </w:rPr>
              <w:br w:type="textWrapping"/>
            </w:r>
            <w:r>
              <w:rPr>
                <w:rFonts w:hint="eastAsia" w:ascii="宋体" w:hAnsi="宋体"/>
                <w:color w:val="000000"/>
                <w:sz w:val="21"/>
                <w:szCs w:val="21"/>
                <w:lang w:val="en-US" w:eastAsia="zh-CN"/>
              </w:rPr>
              <w:t>2．财务能力：代理商注册资金不低于2000万人民币，具有2015至2016年连续两年经会计师事务所或审计机构审计的财务会计报表。</w:t>
            </w:r>
            <w:r>
              <w:rPr>
                <w:rFonts w:hint="eastAsia" w:ascii="宋体" w:hAnsi="宋体"/>
                <w:color w:val="000000"/>
                <w:sz w:val="21"/>
                <w:szCs w:val="21"/>
                <w:lang w:val="en-US" w:eastAsia="zh-CN"/>
              </w:rPr>
              <w:br w:type="textWrapping"/>
            </w:r>
            <w:r>
              <w:rPr>
                <w:rFonts w:hint="eastAsia" w:ascii="宋体" w:hAnsi="宋体"/>
                <w:color w:val="000000"/>
                <w:sz w:val="21"/>
                <w:szCs w:val="21"/>
                <w:lang w:val="en-US" w:eastAsia="zh-CN"/>
              </w:rPr>
              <w:t>3．</w:t>
            </w:r>
            <w:r>
              <w:rPr>
                <w:rFonts w:hint="eastAsia" w:ascii="宋体" w:hAnsi="宋体" w:cs="宋体"/>
                <w:color w:val="000000"/>
                <w:kern w:val="0"/>
                <w:szCs w:val="21"/>
              </w:rPr>
              <w:t>其他：</w:t>
            </w:r>
            <w:r>
              <w:rPr>
                <w:rFonts w:hint="eastAsia" w:ascii="宋体" w:hAnsi="宋体"/>
                <w:color w:val="000000"/>
                <w:sz w:val="21"/>
                <w:szCs w:val="21"/>
                <w:lang w:val="en-US" w:eastAsia="zh-CN"/>
              </w:rPr>
              <w:t>①</w:t>
            </w:r>
            <w:r>
              <w:rPr>
                <w:rFonts w:hint="eastAsia" w:ascii="宋体" w:hAnsi="宋体" w:cs="宋体"/>
                <w:color w:val="000000"/>
                <w:kern w:val="0"/>
                <w:szCs w:val="21"/>
              </w:rPr>
              <w:t>代理商可以代理多个厂家的产品参与投标，但必须具有满足本资格条件要求的生产厂出具的针对投标包件的唯一授权函，生产厂不得与其授权的代理商在同一包件中投标；生产厂或代理商应具备跨地域供应、集散能力；代理商提供的制造厂资格声明及制造厂出具的授权函须加盖制造厂公章（鲜章）。</w:t>
            </w:r>
            <w:r>
              <w:rPr>
                <w:rFonts w:hint="eastAsia" w:ascii="宋体" w:hAnsi="宋体"/>
                <w:color w:val="000000"/>
                <w:sz w:val="21"/>
                <w:szCs w:val="21"/>
                <w:lang w:val="en-US" w:eastAsia="zh-CN"/>
              </w:rPr>
              <w:t>②</w:t>
            </w:r>
            <w:r>
              <w:rPr>
                <w:rFonts w:hint="eastAsia" w:ascii="宋体" w:hAnsi="宋体" w:cs="宋体"/>
                <w:color w:val="000000"/>
                <w:kern w:val="0"/>
                <w:szCs w:val="21"/>
              </w:rPr>
              <w:t>本次招标物资生产厂须在下列钢材生产厂家名录内：河钢股份有限公司承德分公司、河钢股份有限公司唐山分公司、宣化钢铁集团有限责任公司。</w:t>
            </w:r>
          </w:p>
        </w:tc>
        <w:tc>
          <w:tcPr>
            <w:tcW w:w="15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 w:val="21"/>
                <w:szCs w:val="21"/>
              </w:rPr>
            </w:pPr>
            <w:r>
              <w:rPr>
                <w:rFonts w:hint="eastAsia" w:ascii="宋体" w:hAnsi="宋体" w:cs="宋体"/>
                <w:color w:val="000000"/>
                <w:szCs w:val="21"/>
              </w:rPr>
              <w:t>中铁四局集团第四工程有限公司延崇高速河北段ZT8合同项目部</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lang w:val="en-US" w:eastAsia="zh-CN"/>
              </w:rPr>
            </w:pPr>
            <w:r>
              <w:rPr>
                <w:rFonts w:hint="eastAsia" w:ascii="宋体" w:hAnsi="宋体"/>
                <w:szCs w:val="21"/>
                <w:lang w:val="en-US" w:eastAsia="zh-CN"/>
              </w:rPr>
              <w:t>2000</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lang w:val="en-US" w:eastAsia="zh-CN"/>
              </w:rPr>
            </w:pPr>
            <w:r>
              <w:rPr>
                <w:rFonts w:hint="eastAsia" w:ascii="宋体" w:hAnsi="宋体"/>
                <w:szCs w:val="21"/>
                <w:lang w:val="en-US" w:eastAsia="zh-CN"/>
              </w:rPr>
              <w:t>200000</w:t>
            </w:r>
          </w:p>
        </w:tc>
      </w:tr>
      <w:tr>
        <w:tblPrEx>
          <w:tblLayout w:type="fixed"/>
          <w:tblCellMar>
            <w:top w:w="15" w:type="dxa"/>
            <w:left w:w="15" w:type="dxa"/>
            <w:bottom w:w="15" w:type="dxa"/>
            <w:right w:w="15" w:type="dxa"/>
          </w:tblCellMar>
        </w:tblPrEx>
        <w:trPr>
          <w:gridAfter w:val="1"/>
          <w:wAfter w:w="5" w:type="dxa"/>
          <w:trHeight w:val="3556" w:hRule="exact"/>
        </w:trPr>
        <w:tc>
          <w:tcPr>
            <w:tcW w:w="5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6</w:t>
            </w: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白灰</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BH-1</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吨</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17500</w:t>
            </w:r>
          </w:p>
        </w:tc>
        <w:tc>
          <w:tcPr>
            <w:tcW w:w="5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1.生产能力：生产厂年均产量需达到5万吨以上，且具有满足相应产量要求的生产线。</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2.财务能力：具有良好的资金财务状况，投标人注册资金不得低于200万元。</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①代理商需由生产商签署针对投标包件的唯一授权函,且必须是该授权生产商原厂生产；且生产商不得与其所授权的代理商共同参与同一包件的投标。②代理商投标时，出具的授权函、营业执照复印件、检验报告复印件、资格声明等资料均须加盖授权人公章（鲜章），否则视为无效。</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中铁四局集团太焦铁路TJZQ-8标项目经理部沿线工地指定地点</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500</w:t>
            </w: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100000</w:t>
            </w:r>
          </w:p>
        </w:tc>
      </w:tr>
      <w:tr>
        <w:tblPrEx>
          <w:tblLayout w:type="fixed"/>
          <w:tblCellMar>
            <w:top w:w="15" w:type="dxa"/>
            <w:left w:w="15" w:type="dxa"/>
            <w:bottom w:w="15" w:type="dxa"/>
            <w:right w:w="15" w:type="dxa"/>
          </w:tblCellMar>
        </w:tblPrEx>
        <w:trPr>
          <w:gridAfter w:val="1"/>
          <w:wAfter w:w="5" w:type="dxa"/>
          <w:trHeight w:val="3988" w:hRule="exact"/>
        </w:trPr>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7</w:t>
            </w: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中心排水管</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default" w:ascii="宋体" w:hAnsi="宋体"/>
                <w:color w:val="000000"/>
                <w:sz w:val="21"/>
                <w:szCs w:val="21"/>
                <w:lang w:val="en-US" w:eastAsia="zh-CN"/>
              </w:rPr>
            </w:pPr>
            <w:r>
              <w:rPr>
                <w:rFonts w:hint="eastAsia" w:ascii="宋体" w:hAnsi="宋体"/>
                <w:color w:val="000000"/>
                <w:sz w:val="21"/>
                <w:szCs w:val="21"/>
                <w:lang w:val="en-US" w:eastAsia="zh-CN"/>
              </w:rPr>
              <w:t>PSG-1</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default" w:ascii="宋体" w:hAnsi="宋体"/>
                <w:color w:val="000000"/>
                <w:sz w:val="21"/>
                <w:szCs w:val="21"/>
                <w:lang w:val="en-US" w:eastAsia="zh-CN"/>
              </w:rPr>
            </w:pPr>
            <w:r>
              <w:rPr>
                <w:rFonts w:hint="eastAsia" w:ascii="宋体" w:hAnsi="宋体"/>
                <w:color w:val="000000"/>
                <w:sz w:val="21"/>
                <w:szCs w:val="21"/>
                <w:lang w:val="en-US" w:eastAsia="zh-CN"/>
              </w:rPr>
              <w:t>m</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center"/>
              <w:textAlignment w:val="center"/>
              <w:outlineLvl w:val="9"/>
              <w:rPr>
                <w:rFonts w:hint="default" w:ascii="宋体" w:hAnsi="宋体"/>
                <w:color w:val="000000"/>
                <w:sz w:val="21"/>
                <w:szCs w:val="21"/>
                <w:lang w:val="en-US" w:eastAsia="zh-CN"/>
              </w:rPr>
            </w:pPr>
            <w:r>
              <w:rPr>
                <w:rFonts w:hint="eastAsia" w:ascii="宋体" w:hAnsi="宋体"/>
                <w:color w:val="000000"/>
                <w:sz w:val="21"/>
                <w:szCs w:val="21"/>
                <w:lang w:val="en-US" w:eastAsia="zh-CN"/>
              </w:rPr>
              <w:t>13200</w:t>
            </w:r>
          </w:p>
        </w:tc>
        <w:tc>
          <w:tcPr>
            <w:tcW w:w="5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1.生产能力：生产厂年均产量需达到10万米以上，且具有满足相应产量要求的生产线。</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2.财务能力：具有良好的资金财务状况，生产厂注册资金不得低于100万元。不允许代理商参与。</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left"/>
              <w:textAlignment w:val="center"/>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①代理商需由生产商签署针对投标包件的唯一授权函,且必须是该授权生产商原厂生产；且生产商不得与其所授权的代理商共同参与同一包件的投标。②代理商投标时，出具的授权函、营业执照复印件、检验报告复印件、资格声明等资料均须加盖授权人公章（鲜章），否则视为无效</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center"/>
              <w:textAlignment w:val="center"/>
              <w:outlineLvl w:val="9"/>
              <w:rPr>
                <w:rFonts w:hint="eastAsia" w:ascii="宋体" w:hAnsi="宋体" w:cs="宋体"/>
                <w:sz w:val="21"/>
                <w:szCs w:val="21"/>
              </w:rPr>
            </w:pPr>
            <w:r>
              <w:rPr>
                <w:rFonts w:hint="eastAsia" w:ascii="宋体" w:hAnsi="宋体"/>
                <w:color w:val="000000"/>
                <w:sz w:val="21"/>
                <w:szCs w:val="21"/>
                <w:lang w:val="en-US" w:eastAsia="zh-CN"/>
              </w:rPr>
              <w:t>中铁四局集团太焦铁路TJZQ-8标项目经理部沿线工地指定地点</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center"/>
              <w:textAlignment w:val="center"/>
              <w:outlineLvl w:val="9"/>
              <w:rPr>
                <w:rFonts w:hint="eastAsia" w:ascii="宋体" w:hAnsi="宋体" w:cs="宋体"/>
                <w:sz w:val="21"/>
                <w:szCs w:val="21"/>
                <w:lang w:val="en-US" w:eastAsia="zh-CN"/>
              </w:rPr>
            </w:pPr>
            <w:r>
              <w:rPr>
                <w:rFonts w:hint="eastAsia" w:ascii="宋体" w:hAnsi="宋体"/>
                <w:color w:val="000000"/>
                <w:sz w:val="21"/>
                <w:szCs w:val="21"/>
                <w:lang w:val="en-US" w:eastAsia="zh-CN"/>
              </w:rPr>
              <w:t>500</w:t>
            </w: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center"/>
              <w:textAlignment w:val="center"/>
              <w:outlineLvl w:val="9"/>
              <w:rPr>
                <w:rFonts w:hint="eastAsia" w:ascii="宋体" w:hAnsi="宋体" w:cs="宋体"/>
                <w:sz w:val="21"/>
                <w:szCs w:val="21"/>
                <w:lang w:val="en-US" w:eastAsia="zh-CN"/>
              </w:rPr>
            </w:pPr>
            <w:r>
              <w:rPr>
                <w:rFonts w:hint="eastAsia" w:ascii="宋体" w:hAnsi="宋体"/>
                <w:color w:val="000000"/>
                <w:sz w:val="21"/>
                <w:szCs w:val="21"/>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15" w:hRule="atLeast"/>
        </w:trPr>
        <w:tc>
          <w:tcPr>
            <w:tcW w:w="565" w:type="dxa"/>
            <w:vAlign w:val="center"/>
          </w:tcPr>
          <w:p>
            <w:pPr>
              <w:spacing w:line="320" w:lineRule="exact"/>
              <w:jc w:val="center"/>
              <w:rPr>
                <w:rFonts w:hint="eastAsia" w:ascii="宋体" w:hAnsi="宋体" w:cs="宋体"/>
                <w:sz w:val="21"/>
                <w:szCs w:val="21"/>
                <w:lang w:val="en-US" w:eastAsia="zh-CN"/>
              </w:rPr>
            </w:pPr>
            <w:r>
              <w:rPr>
                <w:rFonts w:hint="eastAsia" w:ascii="宋体" w:hAnsi="宋体" w:eastAsia="宋体" w:cs="宋体"/>
                <w:i w:val="0"/>
                <w:color w:val="000000"/>
                <w:kern w:val="0"/>
                <w:sz w:val="24"/>
                <w:szCs w:val="24"/>
                <w:u w:val="none"/>
                <w:lang w:val="en-US" w:eastAsia="zh-CN" w:bidi="ar"/>
              </w:rPr>
              <w:t>8</w:t>
            </w:r>
          </w:p>
        </w:tc>
        <w:tc>
          <w:tcPr>
            <w:tcW w:w="1500" w:type="dxa"/>
            <w:vAlign w:val="center"/>
          </w:tcPr>
          <w:p>
            <w:pPr>
              <w:widowControl/>
              <w:jc w:val="center"/>
              <w:textAlignment w:val="center"/>
              <w:rPr>
                <w:rFonts w:hint="eastAsia" w:ascii="宋体" w:hAnsi="宋体" w:cs="宋体"/>
                <w:sz w:val="21"/>
                <w:szCs w:val="21"/>
              </w:rPr>
            </w:pPr>
            <w:r>
              <w:rPr>
                <w:rFonts w:hint="eastAsia" w:ascii="宋体" w:hAnsi="宋体" w:eastAsia="宋体" w:cs="宋体"/>
                <w:sz w:val="21"/>
                <w:szCs w:val="21"/>
                <w:lang w:val="en-US" w:eastAsia="zh-CN"/>
              </w:rPr>
              <w:t>水泥</w:t>
            </w:r>
          </w:p>
        </w:tc>
        <w:tc>
          <w:tcPr>
            <w:tcW w:w="933" w:type="dxa"/>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SN-</w:t>
            </w:r>
            <w:r>
              <w:rPr>
                <w:rFonts w:hint="eastAsia" w:ascii="宋体" w:hAnsi="宋体" w:cs="宋体"/>
                <w:sz w:val="21"/>
                <w:szCs w:val="21"/>
              </w:rPr>
              <w:t>01</w:t>
            </w:r>
          </w:p>
        </w:tc>
        <w:tc>
          <w:tcPr>
            <w:tcW w:w="717" w:type="dxa"/>
            <w:tcBorders>
              <w:top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吨</w:t>
            </w:r>
          </w:p>
        </w:tc>
        <w:tc>
          <w:tcPr>
            <w:tcW w:w="915" w:type="dxa"/>
            <w:tcBorders>
              <w:top w:val="single" w:color="auto" w:sz="4" w:space="0"/>
            </w:tcBorders>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bCs/>
                <w:sz w:val="21"/>
                <w:szCs w:val="21"/>
                <w:highlight w:val="none"/>
                <w:lang w:val="en-US" w:eastAsia="zh-CN"/>
              </w:rPr>
              <w:t>19500</w:t>
            </w:r>
          </w:p>
        </w:tc>
        <w:tc>
          <w:tcPr>
            <w:tcW w:w="5916" w:type="dxa"/>
            <w:vAlign w:val="center"/>
          </w:tcPr>
          <w:p>
            <w:pPr>
              <w:numPr>
                <w:ilvl w:val="0"/>
                <w:numId w:val="0"/>
              </w:numPr>
              <w:jc w:val="left"/>
              <w:rPr>
                <w:rFonts w:hint="eastAsia" w:ascii="宋体" w:hAnsi="宋体" w:cs="宋体"/>
                <w:sz w:val="21"/>
                <w:szCs w:val="21"/>
                <w:highlight w:val="none"/>
                <w:lang w:val="en-US" w:eastAsia="zh-CN"/>
              </w:rPr>
            </w:pPr>
            <w:r>
              <w:rPr>
                <w:rFonts w:hint="eastAsia" w:ascii="宋体" w:hAnsi="宋体" w:cs="宋体"/>
                <w:sz w:val="21"/>
                <w:szCs w:val="21"/>
                <w:lang w:val="en-US" w:eastAsia="zh-CN"/>
              </w:rPr>
              <w:t>1.</w:t>
            </w:r>
            <w:r>
              <w:rPr>
                <w:rFonts w:hint="eastAsia" w:ascii="宋体" w:hAnsi="宋体" w:cs="宋体"/>
                <w:sz w:val="21"/>
                <w:szCs w:val="21"/>
                <w:highlight w:val="none"/>
                <w:lang w:val="en-US" w:eastAsia="zh-CN"/>
              </w:rPr>
              <w:t>生产厂具备年生产能力100万吨及以上旋窑生产线，采用新型干法生产工艺（预分解窑）。不接受同时拥有旋窑、立窑生产线生产商的产品。本集团内无熟料生产线，需外购熟料的企业不予以接受。</w:t>
            </w:r>
          </w:p>
          <w:p>
            <w:pPr>
              <w:numPr>
                <w:ilvl w:val="0"/>
                <w:numId w:val="0"/>
              </w:numPr>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2.生产厂注册资金5000万元人民币及以上，代理商注册资金500万元人民币及以上。</w:t>
            </w:r>
          </w:p>
          <w:p>
            <w:pPr>
              <w:numPr>
                <w:ilvl w:val="0"/>
                <w:numId w:val="0"/>
              </w:numPr>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3.生产厂有按国家规定的标准检测和检验合格的专业生产设备，具有有效的全国工业产品生产许可证、ISO9000系列质量管理体系认证证书。</w:t>
            </w:r>
          </w:p>
          <w:p>
            <w:pPr>
              <w:numPr>
                <w:ilvl w:val="0"/>
                <w:numId w:val="0"/>
              </w:numPr>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4.产品符合国家现行标准,具有近三年省、部级及以上专业检测机构出具的产品合格检测报告。</w:t>
            </w:r>
          </w:p>
          <w:p>
            <w:pPr>
              <w:spacing w:line="320" w:lineRule="exact"/>
              <w:rPr>
                <w:rFonts w:hint="eastAsia" w:ascii="宋体" w:hAnsi="宋体" w:cs="宋体"/>
                <w:color w:val="000000"/>
                <w:sz w:val="18"/>
                <w:szCs w:val="18"/>
                <w:lang w:val="en-US" w:eastAsia="zh-CN"/>
              </w:rPr>
            </w:pPr>
            <w:r>
              <w:rPr>
                <w:rFonts w:hint="eastAsia" w:ascii="宋体" w:hAnsi="宋体" w:cs="宋体"/>
                <w:sz w:val="21"/>
                <w:szCs w:val="21"/>
                <w:highlight w:val="none"/>
                <w:lang w:val="en-US" w:eastAsia="zh-CN"/>
              </w:rPr>
              <w:t>5.其他要求：代理商投标需有生产厂家的唯一授权函（加盖鲜章）。</w:t>
            </w:r>
          </w:p>
          <w:p>
            <w:pPr>
              <w:widowControl/>
              <w:jc w:val="center"/>
              <w:textAlignment w:val="center"/>
              <w:rPr>
                <w:rFonts w:hint="eastAsia" w:ascii="宋体" w:hAnsi="宋体" w:cs="宋体"/>
                <w:sz w:val="18"/>
                <w:szCs w:val="18"/>
              </w:rPr>
            </w:pPr>
          </w:p>
        </w:tc>
        <w:tc>
          <w:tcPr>
            <w:tcW w:w="159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sz w:val="21"/>
                <w:szCs w:val="21"/>
                <w:lang w:val="en-US" w:eastAsia="zh-CN"/>
              </w:rPr>
              <w:t>中铁四局集团太焦铁路TJZQ-8标项目经理部</w:t>
            </w:r>
          </w:p>
        </w:tc>
        <w:tc>
          <w:tcPr>
            <w:tcW w:w="1305" w:type="dxa"/>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lang w:val="en-US" w:eastAsia="zh-CN"/>
              </w:rPr>
              <w:t>500</w:t>
            </w:r>
          </w:p>
        </w:tc>
        <w:tc>
          <w:tcPr>
            <w:tcW w:w="1201" w:type="dxa"/>
            <w:gridSpan w:val="2"/>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lang w:val="en-US"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15" w:hRule="atLeast"/>
        </w:trPr>
        <w:tc>
          <w:tcPr>
            <w:tcW w:w="565" w:type="dxa"/>
            <w:vAlign w:val="center"/>
          </w:tcPr>
          <w:p>
            <w:pPr>
              <w:spacing w:line="320" w:lineRule="exact"/>
              <w:ind w:firstLine="240" w:firstLineChars="10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1500" w:type="dxa"/>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val="en-US" w:eastAsia="zh-CN"/>
              </w:rPr>
              <w:t>中空组合锚杆</w:t>
            </w:r>
          </w:p>
        </w:tc>
        <w:tc>
          <w:tcPr>
            <w:tcW w:w="933" w:type="dxa"/>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val="en-US" w:eastAsia="zh-CN"/>
              </w:rPr>
              <w:t>MG-01</w:t>
            </w:r>
          </w:p>
        </w:tc>
        <w:tc>
          <w:tcPr>
            <w:tcW w:w="717" w:type="dxa"/>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val="en-US" w:eastAsia="zh-CN"/>
              </w:rPr>
              <w:t>m</w:t>
            </w:r>
          </w:p>
        </w:tc>
        <w:tc>
          <w:tcPr>
            <w:tcW w:w="915" w:type="dxa"/>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bCs/>
                <w:sz w:val="21"/>
                <w:szCs w:val="21"/>
                <w:lang w:val="en-US" w:eastAsia="zh-CN"/>
              </w:rPr>
              <w:t>200000</w:t>
            </w:r>
          </w:p>
        </w:tc>
        <w:tc>
          <w:tcPr>
            <w:tcW w:w="5916" w:type="dxa"/>
            <w:vAlign w:val="center"/>
          </w:tcPr>
          <w:p>
            <w:pPr>
              <w:widowControl/>
              <w:jc w:val="left"/>
              <w:textAlignment w:val="center"/>
              <w:rPr>
                <w:rFonts w:hint="eastAsia" w:ascii="宋体" w:hAnsi="宋体" w:cs="宋体"/>
                <w:sz w:val="21"/>
                <w:szCs w:val="21"/>
                <w:lang w:val="en-US" w:eastAsia="zh-CN"/>
              </w:rPr>
            </w:pPr>
            <w:r>
              <w:rPr>
                <w:rFonts w:hint="eastAsia" w:ascii="宋体" w:hAnsi="宋体" w:cs="宋体"/>
                <w:sz w:val="21"/>
                <w:szCs w:val="21"/>
                <w:lang w:val="en-US" w:eastAsia="zh-CN"/>
              </w:rPr>
              <w:t>1.生产能力要求：生产厂家锚杆年均产量达到100万m以上，且具有相应的技术人员，满足合格供应厂资格条件的要求；</w:t>
            </w:r>
          </w:p>
          <w:p>
            <w:pPr>
              <w:widowControl/>
              <w:jc w:val="left"/>
              <w:textAlignment w:val="center"/>
              <w:rPr>
                <w:rFonts w:hint="eastAsia" w:ascii="宋体" w:hAnsi="宋体" w:cs="宋体"/>
                <w:sz w:val="21"/>
                <w:szCs w:val="21"/>
                <w:lang w:val="en-US" w:eastAsia="zh-CN"/>
              </w:rPr>
            </w:pPr>
            <w:r>
              <w:rPr>
                <w:rFonts w:hint="eastAsia" w:ascii="宋体" w:hAnsi="宋体" w:cs="宋体"/>
                <w:sz w:val="21"/>
                <w:szCs w:val="21"/>
                <w:lang w:val="en-US" w:eastAsia="zh-CN"/>
              </w:rPr>
              <w:t>2.财务能力要求：具注册资金500万人民币及以上；提供近两年会计事务所审计的财务报告及报表；</w:t>
            </w:r>
          </w:p>
          <w:p>
            <w:pPr>
              <w:widowControl/>
              <w:jc w:val="left"/>
              <w:textAlignment w:val="center"/>
              <w:rPr>
                <w:rFonts w:hint="eastAsia" w:ascii="宋体" w:hAnsi="宋体" w:cs="宋体"/>
                <w:sz w:val="21"/>
                <w:szCs w:val="21"/>
                <w:lang w:val="en-US" w:eastAsia="zh-CN"/>
              </w:rPr>
            </w:pPr>
            <w:r>
              <w:rPr>
                <w:rFonts w:hint="eastAsia" w:ascii="宋体" w:hAnsi="宋体" w:cs="宋体"/>
                <w:sz w:val="21"/>
                <w:szCs w:val="21"/>
                <w:lang w:val="en-US" w:eastAsia="zh-CN"/>
              </w:rPr>
              <w:t>3.质量保证能力：投标人生产的生产工艺、装备必须通过ISO9000质量体系认证，提供近两年省部级及以上专业检测机构出具的产品质量合格的检查报告；</w:t>
            </w:r>
          </w:p>
          <w:p>
            <w:pPr>
              <w:widowControl/>
              <w:jc w:val="left"/>
              <w:textAlignment w:val="center"/>
              <w:rPr>
                <w:rFonts w:hint="eastAsia" w:ascii="宋体" w:hAnsi="宋体" w:cs="宋体"/>
                <w:sz w:val="21"/>
                <w:szCs w:val="21"/>
                <w:lang w:val="en-US" w:eastAsia="zh-CN"/>
              </w:rPr>
            </w:pPr>
            <w:r>
              <w:rPr>
                <w:rFonts w:hint="eastAsia" w:ascii="宋体" w:hAnsi="宋体" w:cs="宋体"/>
                <w:sz w:val="21"/>
                <w:szCs w:val="21"/>
                <w:lang w:val="en-US" w:eastAsia="zh-CN"/>
              </w:rPr>
              <w:t>4.其他：不允许代理商参与投标。</w:t>
            </w:r>
          </w:p>
          <w:p>
            <w:pPr>
              <w:widowControl/>
              <w:jc w:val="left"/>
              <w:textAlignment w:val="center"/>
              <w:rPr>
                <w:rFonts w:hint="eastAsia" w:ascii="宋体" w:hAnsi="宋体" w:cs="宋体"/>
                <w:sz w:val="21"/>
                <w:szCs w:val="21"/>
              </w:rPr>
            </w:pPr>
          </w:p>
        </w:tc>
        <w:tc>
          <w:tcPr>
            <w:tcW w:w="1599" w:type="dxa"/>
            <w:vAlign w:val="center"/>
          </w:tcPr>
          <w:p>
            <w:pPr>
              <w:widowControl/>
              <w:jc w:val="center"/>
              <w:textAlignment w:val="center"/>
              <w:rPr>
                <w:rFonts w:hint="eastAsia" w:ascii="宋体" w:hAnsi="宋体" w:cs="宋体"/>
                <w:sz w:val="21"/>
                <w:szCs w:val="21"/>
                <w:lang w:val="en-US" w:eastAsia="zh-CN"/>
              </w:rPr>
            </w:pPr>
            <w:r>
              <w:rPr>
                <w:rFonts w:hint="eastAsia" w:ascii="宋体" w:hAnsi="宋体"/>
                <w:sz w:val="21"/>
                <w:szCs w:val="21"/>
                <w:lang w:val="en-US" w:eastAsia="zh-CN"/>
              </w:rPr>
              <w:t>中铁四局集团太焦铁路TJZQ-8标项目经理部</w:t>
            </w:r>
          </w:p>
        </w:tc>
        <w:tc>
          <w:tcPr>
            <w:tcW w:w="1305" w:type="dxa"/>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500</w:t>
            </w:r>
          </w:p>
        </w:tc>
        <w:tc>
          <w:tcPr>
            <w:tcW w:w="1201" w:type="dxa"/>
            <w:gridSpan w:val="2"/>
            <w:vAlign w:val="center"/>
          </w:tcPr>
          <w:p>
            <w:pPr>
              <w:widowControl/>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100000</w:t>
            </w:r>
          </w:p>
        </w:tc>
      </w:tr>
    </w:tbl>
    <w:p>
      <w:pPr>
        <w:keepNext w:val="0"/>
        <w:keepLines w:val="0"/>
        <w:pageBreakBefore w:val="0"/>
        <w:widowControl w:val="0"/>
        <w:kinsoku/>
        <w:wordWrap/>
        <w:overflowPunct/>
        <w:topLinePunct w:val="0"/>
        <w:autoSpaceDE/>
        <w:autoSpaceDN/>
        <w:bidi w:val="0"/>
        <w:adjustRightInd/>
        <w:snapToGrid/>
        <w:spacing w:afterAutospacing="0" w:line="440" w:lineRule="exact"/>
        <w:ind w:left="0" w:leftChars="0" w:right="0" w:rightChars="0" w:firstLine="0" w:firstLineChars="0"/>
        <w:jc w:val="both"/>
        <w:textAlignment w:val="auto"/>
        <w:outlineLvl w:val="9"/>
        <w:rPr>
          <w:rFonts w:hint="eastAsia"/>
          <w:sz w:val="21"/>
          <w:szCs w:val="21"/>
        </w:rPr>
      </w:pPr>
      <w:r>
        <w:rPr>
          <w:rFonts w:hint="eastAsia" w:ascii="宋体" w:hAnsi="宋体" w:cs="宋体"/>
          <w:kern w:val="0"/>
          <w:sz w:val="21"/>
          <w:szCs w:val="21"/>
        </w:rPr>
        <w:t>注：招标物资的具体规格、交货地点、需求时间详见招标文件。</w:t>
      </w:r>
    </w:p>
    <w:bookmarkEnd w:id="35"/>
    <w:bookmarkEnd w:id="36"/>
    <w:p>
      <w:pPr>
        <w:pageBreakBefore w:val="0"/>
        <w:widowControl/>
        <w:kinsoku/>
        <w:wordWrap/>
        <w:overflowPunct/>
        <w:bidi w:val="0"/>
        <w:spacing w:afterAutospacing="0" w:line="440" w:lineRule="exact"/>
        <w:jc w:val="left"/>
        <w:sectPr>
          <w:pgSz w:w="16838" w:h="11906" w:orient="landscape"/>
          <w:pgMar w:top="1134" w:right="1134" w:bottom="1134" w:left="1134" w:header="737" w:footer="567"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1A39"/>
    <w:multiLevelType w:val="singleLevel"/>
    <w:tmpl w:val="58B81A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F71DE"/>
    <w:rsid w:val="580F7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6"/>
    <w:unhideWhenUsed/>
    <w:qFormat/>
    <w:uiPriority w:val="0"/>
    <w:pPr>
      <w:keepNext/>
      <w:keepLines/>
      <w:snapToGrid w:val="0"/>
      <w:spacing w:line="440" w:lineRule="exact"/>
      <w:ind w:firstLine="720" w:firstLineChars="200"/>
      <w:jc w:val="left"/>
      <w:outlineLvl w:val="1"/>
    </w:pPr>
    <w:rPr>
      <w:rFonts w:ascii="宋体" w:hAnsi="宋体" w:eastAsia="宋体" w:cs="宋体"/>
      <w:b/>
      <w:bCs/>
      <w:snapToGrid w:val="0"/>
      <w:sz w:val="2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3"/>
    <w:basedOn w:val="1"/>
    <w:uiPriority w:val="0"/>
    <w:rPr>
      <w:rFonts w:ascii="宋体"/>
      <w:sz w:val="24"/>
      <w:szCs w:val="20"/>
    </w:rPr>
  </w:style>
  <w:style w:type="character" w:customStyle="1" w:styleId="6">
    <w:name w:val=" Char Char17"/>
    <w:link w:val="2"/>
    <w:qFormat/>
    <w:locked/>
    <w:uiPriority w:val="0"/>
    <w:rPr>
      <w:rFonts w:ascii="宋体" w:hAnsi="宋体" w:eastAsia="宋体" w:cs="宋体"/>
      <w:b/>
      <w:bCs/>
      <w:snapToGrid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2017-10-10T11:19:00Z</dcterms:created>
  <dc:creator>杜文浩</dc:creator>
  <cp:lastModifiedBy>杜文浩</cp:lastModifiedBy>
  <dcterms:modified xsi:type="dcterms:W3CDTF">2017-10-10T11:24:58Z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