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b/>
          <w:color w:val="auto"/>
          <w:sz w:val="28"/>
          <w:szCs w:val="28"/>
          <w:highlight w:val="none"/>
        </w:rPr>
      </w:pPr>
      <w:bookmarkStart w:id="0" w:name="_Toc432066423"/>
      <w:r>
        <w:rPr>
          <w:rFonts w:hint="eastAsia"/>
          <w:b/>
          <w:color w:val="auto"/>
          <w:sz w:val="28"/>
          <w:szCs w:val="28"/>
          <w:highlight w:val="none"/>
        </w:rPr>
        <w:t>中铁四局集团</w:t>
      </w:r>
      <w:r>
        <w:rPr>
          <w:rFonts w:hint="eastAsia"/>
          <w:b/>
          <w:color w:val="auto"/>
          <w:sz w:val="28"/>
          <w:szCs w:val="28"/>
          <w:highlight w:val="none"/>
          <w:lang w:val="en-US" w:eastAsia="zh-CN"/>
        </w:rPr>
        <w:t>四公司太原市政项目物资</w:t>
      </w:r>
      <w:r>
        <w:rPr>
          <w:rFonts w:hint="eastAsia"/>
          <w:b/>
          <w:color w:val="auto"/>
          <w:sz w:val="28"/>
          <w:szCs w:val="28"/>
          <w:highlight w:val="none"/>
        </w:rPr>
        <w:t>竞争性谈判</w:t>
      </w:r>
      <w:r>
        <w:rPr>
          <w:rFonts w:hint="eastAsia"/>
          <w:b/>
          <w:color w:val="auto"/>
          <w:sz w:val="28"/>
          <w:szCs w:val="28"/>
          <w:highlight w:val="none"/>
          <w:lang w:eastAsia="zh-CN"/>
        </w:rPr>
        <w:t>公告</w:t>
      </w:r>
    </w:p>
    <w:p>
      <w:pPr>
        <w:keepNext w:val="0"/>
        <w:keepLines w:val="0"/>
        <w:pageBreakBefore w:val="0"/>
        <w:widowControl w:val="0"/>
        <w:tabs>
          <w:tab w:val="left" w:pos="4065"/>
        </w:tabs>
        <w:kinsoku/>
        <w:wordWrap/>
        <w:overflowPunct/>
        <w:topLinePunct w:val="0"/>
        <w:autoSpaceDE/>
        <w:autoSpaceDN/>
        <w:bidi w:val="0"/>
        <w:adjustRightInd/>
        <w:snapToGrid w:val="0"/>
        <w:spacing w:before="157" w:beforeLines="50" w:after="157" w:afterLines="50"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rPr>
        <w:t>文件编号：</w:t>
      </w:r>
      <w:r>
        <w:rPr>
          <w:rFonts w:hint="eastAsia" w:ascii="宋体" w:hAnsi="宋体" w:cs="宋体"/>
          <w:b w:val="0"/>
          <w:bCs w:val="0"/>
          <w:color w:val="000000"/>
          <w:sz w:val="24"/>
          <w:szCs w:val="24"/>
          <w:highlight w:val="none"/>
          <w:lang w:eastAsia="zh-CN"/>
        </w:rPr>
        <w:t>ZTSJSGS-TPCG2018005</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w:t>
      </w:r>
      <w:r>
        <w:rPr>
          <w:rFonts w:hint="eastAsia" w:asciiTheme="minorEastAsia" w:hAnsiTheme="minorEastAsia" w:cstheme="minorEastAsia"/>
          <w:color w:val="auto"/>
          <w:sz w:val="21"/>
          <w:szCs w:val="21"/>
          <w:highlight w:val="none"/>
          <w:lang w:val="en-US" w:eastAsia="zh-CN"/>
        </w:rPr>
        <w:t>据股份公司、集团公司及</w:t>
      </w:r>
      <w:r>
        <w:rPr>
          <w:rFonts w:hint="eastAsia" w:asciiTheme="minorEastAsia" w:hAnsiTheme="minorEastAsia" w:eastAsiaTheme="minorEastAsia" w:cstheme="minorEastAsia"/>
          <w:color w:val="auto"/>
          <w:sz w:val="21"/>
          <w:szCs w:val="21"/>
          <w:highlight w:val="none"/>
          <w:lang w:eastAsia="zh-CN"/>
        </w:rPr>
        <w:t>公司</w:t>
      </w:r>
      <w:r>
        <w:rPr>
          <w:rFonts w:hint="eastAsia" w:asciiTheme="minorEastAsia" w:hAnsiTheme="minorEastAsia" w:eastAsiaTheme="minorEastAsia" w:cstheme="minorEastAsia"/>
          <w:color w:val="auto"/>
          <w:sz w:val="21"/>
          <w:szCs w:val="21"/>
          <w:highlight w:val="none"/>
        </w:rPr>
        <w:t>物资采购管理规定，为了满足施工生产需要，提高采购效率，特组织本次</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rPr>
        <w:t>采购竞争性谈判。本次组织单位中铁四局集团</w:t>
      </w:r>
      <w:r>
        <w:rPr>
          <w:rFonts w:hint="eastAsia" w:asciiTheme="minorEastAsia" w:hAnsiTheme="minorEastAsia" w:eastAsiaTheme="minorEastAsia" w:cstheme="minorEastAsia"/>
          <w:color w:val="auto"/>
          <w:sz w:val="21"/>
          <w:szCs w:val="21"/>
          <w:highlight w:val="none"/>
          <w:lang w:eastAsia="zh-CN"/>
        </w:rPr>
        <w:t>第四工程</w:t>
      </w:r>
      <w:r>
        <w:rPr>
          <w:rFonts w:hint="eastAsia" w:asciiTheme="minorEastAsia" w:hAnsiTheme="minorEastAsia" w:eastAsiaTheme="minorEastAsia" w:cstheme="minorEastAsia"/>
          <w:color w:val="auto"/>
          <w:sz w:val="21"/>
          <w:szCs w:val="21"/>
          <w:highlight w:val="none"/>
        </w:rPr>
        <w:t>有限公司，采购单位为</w:t>
      </w:r>
      <w:r>
        <w:rPr>
          <w:rFonts w:hint="eastAsia" w:asciiTheme="minorEastAsia" w:hAnsiTheme="minorEastAsia" w:cstheme="minorEastAsia"/>
          <w:color w:val="auto"/>
          <w:sz w:val="21"/>
          <w:szCs w:val="21"/>
          <w:highlight w:val="none"/>
          <w:lang w:val="en-US" w:eastAsia="zh-CN"/>
        </w:rPr>
        <w:t>中铁四局集团太原市政项目部</w:t>
      </w:r>
      <w:r>
        <w:rPr>
          <w:rFonts w:hint="eastAsia" w:asciiTheme="minorEastAsia" w:hAnsiTheme="minorEastAsia" w:eastAsiaTheme="minorEastAsia" w:cstheme="minorEastAsia"/>
          <w:color w:val="auto"/>
          <w:sz w:val="21"/>
          <w:szCs w:val="21"/>
          <w:highlight w:val="none"/>
        </w:rPr>
        <w:t>。现对本次</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进行竞争性谈判，诚邀贵单位届时前来参加。</w:t>
      </w:r>
    </w:p>
    <w:p>
      <w:pPr>
        <w:pStyle w:val="2"/>
        <w:pageBreakBefore w:val="0"/>
        <w:widowControl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Theme="minorEastAsia" w:hAnsiTheme="minorEastAsia" w:eastAsiaTheme="minorEastAsia" w:cstheme="minorEastAsia"/>
          <w:color w:val="auto"/>
          <w:sz w:val="21"/>
          <w:szCs w:val="21"/>
          <w:highlight w:val="none"/>
        </w:rPr>
      </w:pPr>
      <w:bookmarkStart w:id="1" w:name="_Toc25136"/>
      <w:r>
        <w:rPr>
          <w:rFonts w:hint="eastAsia" w:asciiTheme="minorEastAsia" w:hAnsi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采购单位概况与竞争性谈判内容</w:t>
      </w:r>
      <w:bookmarkEnd w:id="1"/>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lang w:eastAsia="zh-CN"/>
        </w:rPr>
      </w:pPr>
      <w:bookmarkStart w:id="2" w:name="_Toc448788406"/>
      <w:bookmarkStart w:id="3" w:name="_Toc457296507"/>
      <w:bookmarkStart w:id="4" w:name="_Toc316"/>
      <w:bookmarkStart w:id="5" w:name="_Toc10578"/>
      <w:bookmarkStart w:id="6" w:name="_Toc26119"/>
      <w:bookmarkStart w:id="7" w:name="_Toc18130"/>
      <w:bookmarkStart w:id="8" w:name="_Toc13364"/>
      <w:r>
        <w:rPr>
          <w:rStyle w:val="8"/>
          <w:rFonts w:hint="eastAsia" w:asciiTheme="minorEastAsia" w:hAnsiTheme="minorEastAsia" w:eastAsiaTheme="minorEastAsia" w:cstheme="minorEastAsia"/>
          <w:color w:val="auto"/>
          <w:sz w:val="21"/>
          <w:szCs w:val="21"/>
          <w:highlight w:val="none"/>
        </w:rPr>
        <w:t>1.1</w:t>
      </w:r>
      <w:bookmarkEnd w:id="2"/>
      <w:bookmarkEnd w:id="3"/>
      <w:r>
        <w:rPr>
          <w:rStyle w:val="8"/>
          <w:rFonts w:hint="eastAsia" w:asciiTheme="minorEastAsia" w:hAnsiTheme="minorEastAsia" w:eastAsiaTheme="minorEastAsia" w:cstheme="minorEastAsia"/>
          <w:color w:val="auto"/>
          <w:sz w:val="21"/>
          <w:szCs w:val="21"/>
          <w:highlight w:val="none"/>
        </w:rPr>
        <w:t>采购单位概况</w:t>
      </w:r>
      <w:bookmarkEnd w:id="4"/>
      <w:bookmarkEnd w:id="5"/>
      <w:bookmarkEnd w:id="6"/>
      <w:bookmarkEnd w:id="7"/>
      <w:bookmarkEnd w:id="8"/>
      <w:r>
        <w:rPr>
          <w:rFonts w:hint="eastAsia" w:asciiTheme="minorEastAsia" w:hAnsiTheme="minorEastAsia" w:eastAsiaTheme="minorEastAsia" w:cstheme="minorEastAsia"/>
          <w:color w:val="auto"/>
          <w:sz w:val="21"/>
          <w:szCs w:val="21"/>
          <w:highlight w:val="none"/>
          <w:lang w:eastAsia="zh-CN"/>
        </w:rPr>
        <w:t>：</w:t>
      </w:r>
    </w:p>
    <w:p>
      <w:pPr>
        <w:pageBreakBefore w:val="0"/>
        <w:kinsoku/>
        <w:wordWrap/>
        <w:overflowPunct/>
        <w:topLinePunct w:val="0"/>
        <w:autoSpaceDE/>
        <w:autoSpaceDN/>
        <w:bidi w:val="0"/>
        <w:adjustRightInd w:val="0"/>
        <w:snapToGrid w:val="0"/>
        <w:spacing w:line="360" w:lineRule="auto"/>
        <w:ind w:left="0" w:leftChars="0" w:right="-17" w:rightChars="-8" w:firstLine="420" w:firstLineChars="200"/>
        <w:textAlignment w:val="auto"/>
        <w:rPr>
          <w:rStyle w:val="8"/>
          <w:rFonts w:hint="eastAsia" w:asciiTheme="minorEastAsia" w:hAnsiTheme="minorEastAsia" w:eastAsiaTheme="minorEastAsia" w:cstheme="minorEastAsia"/>
          <w:b w:val="0"/>
          <w:bCs w:val="0"/>
          <w:color w:val="auto"/>
          <w:sz w:val="21"/>
          <w:szCs w:val="21"/>
          <w:highlight w:val="none"/>
          <w:lang w:val="en-US" w:eastAsia="zh-CN"/>
        </w:rPr>
      </w:pPr>
      <w:bookmarkStart w:id="9" w:name="_Toc457296508"/>
      <w:bookmarkStart w:id="10" w:name="_Toc25928"/>
      <w:bookmarkStart w:id="11" w:name="_Toc14718"/>
      <w:bookmarkStart w:id="12" w:name="_Toc12172"/>
      <w:bookmarkStart w:id="13" w:name="_Toc5645"/>
      <w:bookmarkStart w:id="14" w:name="_Toc24644"/>
      <w:r>
        <w:rPr>
          <w:rStyle w:val="8"/>
          <w:rFonts w:hint="eastAsia" w:asciiTheme="minorEastAsia" w:hAnsiTheme="minorEastAsia" w:eastAsiaTheme="minorEastAsia" w:cstheme="minorEastAsia"/>
          <w:b w:val="0"/>
          <w:bCs w:val="0"/>
          <w:color w:val="auto"/>
          <w:sz w:val="21"/>
          <w:szCs w:val="21"/>
          <w:highlight w:val="none"/>
          <w:lang w:val="en-US" w:eastAsia="zh-CN"/>
        </w:rPr>
        <w:t>中铁四局太原市晋阳街改渠及十二号线下穿工程（简称太原市政项目经理部）位于晋阳街、人民南路-人民东巷，中标价 1.2 亿元，由中铁四局太原市晋阳街改渠及十二号线下穿工程项目部施工，于 2018 年3 月开工至 2018 年 12 月结束，施工主要内容为挖沟槽土方工程、通道钢筋砼工程、沥青砼路面及附属设施工程。</w:t>
      </w:r>
    </w:p>
    <w:p>
      <w:pPr>
        <w:pageBreakBefore w:val="0"/>
        <w:kinsoku/>
        <w:wordWrap/>
        <w:overflowPunct/>
        <w:topLinePunct w:val="0"/>
        <w:autoSpaceDE/>
        <w:autoSpaceDN/>
        <w:bidi w:val="0"/>
        <w:adjustRightInd w:val="0"/>
        <w:snapToGrid w:val="0"/>
        <w:spacing w:line="360" w:lineRule="auto"/>
        <w:ind w:left="0" w:leftChars="0" w:right="-17" w:rightChars="-8" w:firstLine="422" w:firstLineChars="200"/>
        <w:textAlignment w:val="auto"/>
        <w:rPr>
          <w:rFonts w:hint="eastAsia" w:asciiTheme="minorEastAsia" w:hAnsiTheme="minorEastAsia" w:eastAsiaTheme="minorEastAsia" w:cstheme="minorEastAsia"/>
          <w:b w:val="0"/>
          <w:bCs w:val="0"/>
          <w:color w:val="auto"/>
          <w:kern w:val="0"/>
          <w:sz w:val="21"/>
          <w:szCs w:val="21"/>
          <w:highlight w:val="none"/>
          <w:lang w:val="en-US" w:eastAsia="zh-CN"/>
        </w:rPr>
      </w:pPr>
      <w:r>
        <w:rPr>
          <w:rStyle w:val="8"/>
          <w:rFonts w:hint="eastAsia" w:asciiTheme="minorEastAsia" w:hAnsiTheme="minorEastAsia" w:eastAsiaTheme="minorEastAsia" w:cstheme="minorEastAsia"/>
          <w:color w:val="auto"/>
          <w:sz w:val="21"/>
          <w:szCs w:val="21"/>
          <w:highlight w:val="none"/>
          <w:lang w:val="en-US" w:eastAsia="zh-CN"/>
        </w:rPr>
        <w:t>1.2</w:t>
      </w:r>
      <w:bookmarkEnd w:id="9"/>
      <w:bookmarkEnd w:id="10"/>
      <w:r>
        <w:rPr>
          <w:rStyle w:val="8"/>
          <w:rFonts w:hint="eastAsia" w:asciiTheme="minorEastAsia" w:hAnsiTheme="minorEastAsia" w:eastAsiaTheme="minorEastAsia" w:cstheme="minorEastAsia"/>
          <w:color w:val="auto"/>
          <w:sz w:val="21"/>
          <w:szCs w:val="21"/>
          <w:highlight w:val="none"/>
          <w:lang w:val="en-US" w:eastAsia="zh-CN"/>
        </w:rPr>
        <w:t>合作期限</w:t>
      </w:r>
      <w:bookmarkEnd w:id="11"/>
      <w:r>
        <w:rPr>
          <w:rFonts w:hint="eastAsia" w:asciiTheme="minorEastAsia" w:hAnsiTheme="minorEastAsia" w:eastAsiaTheme="minorEastAsia" w:cstheme="minorEastAsia"/>
          <w:color w:val="auto"/>
          <w:sz w:val="21"/>
          <w:szCs w:val="21"/>
          <w:highlight w:val="none"/>
          <w:lang w:val="en-US" w:eastAsia="zh-CN"/>
        </w:rPr>
        <w:t>：</w:t>
      </w:r>
      <w:bookmarkEnd w:id="12"/>
      <w:bookmarkEnd w:id="13"/>
      <w:bookmarkEnd w:id="14"/>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val="en-US" w:eastAsia="zh-CN"/>
        </w:rPr>
        <w:t>月份~</w:t>
      </w:r>
      <w:r>
        <w:rPr>
          <w:rFonts w:hint="eastAsia" w:asciiTheme="minorEastAsia" w:hAnsiTheme="minorEastAsia" w:cstheme="minorEastAsia"/>
          <w:color w:val="auto"/>
          <w:sz w:val="21"/>
          <w:szCs w:val="21"/>
          <w:highlight w:val="none"/>
          <w:lang w:val="en-US" w:eastAsia="zh-CN"/>
        </w:rPr>
        <w:t>2018</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lang w:val="en-US" w:eastAsia="zh-CN"/>
        </w:rPr>
        <w:t>月份</w:t>
      </w:r>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15" w:name="_Toc9338"/>
      <w:r>
        <w:rPr>
          <w:rStyle w:val="8"/>
          <w:rFonts w:hint="eastAsia" w:asciiTheme="minorEastAsia" w:hAnsiTheme="minorEastAsia" w:eastAsiaTheme="minorEastAsia" w:cstheme="minorEastAsia"/>
          <w:color w:val="auto"/>
          <w:sz w:val="21"/>
          <w:szCs w:val="21"/>
          <w:highlight w:val="none"/>
        </w:rPr>
        <w:t>1.3 竞争性谈判内容</w:t>
      </w:r>
      <w:bookmarkEnd w:id="15"/>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b w:val="0"/>
          <w:bCs w:val="0"/>
          <w:color w:val="auto"/>
          <w:sz w:val="21"/>
          <w:szCs w:val="21"/>
          <w:highlight w:val="none"/>
        </w:rPr>
        <w:t>见附表1。</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6" w:name="_Toc27757"/>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竞争性谈判申请人资格要求</w:t>
      </w:r>
      <w:bookmarkEnd w:id="16"/>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.1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资格要求</w:t>
      </w:r>
      <w:r>
        <w:rPr>
          <w:rFonts w:hint="eastAsia" w:asciiTheme="minorEastAsia" w:hAnsiTheme="minorEastAsia" w:cstheme="minorEastAsia"/>
          <w:color w:val="auto"/>
          <w:sz w:val="21"/>
          <w:szCs w:val="21"/>
          <w:highlight w:val="none"/>
          <w:lang w:eastAsia="zh-CN"/>
        </w:rPr>
        <w:t>：</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2.1.1通用资格要求：</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①营业范围要求：在中华人民共和国境内依法注册，具有独立法人资格、具有谈判物资生产或供应经验的生产厂或供应商，并且具有合法、有效的三证合一的营业执照。</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②财务能力要求：资金财务状况良好，具备实施本项目合同充足的资金保障能力；谈判供应商为生产厂的须具有2016-2017年经会计师事务所或审计机构审计的财务报告及报表，谈判供应商为代理商的须具有2016-2017年的财务报告及报表。</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③质量保证能力要求：生产厂具有有效的ISO9000系列质量管理体系认证，产品符合国家现行标准；并且具有近两年（2016、2017年）的省、部级及以上专业检测机构出具的针对投标物资质量检验报告2份。</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④供货业绩要求：谈判供应商2016、2017年至少有2份铁路工程或国家重点工程建设项目供货业绩相关证明材料。</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谈判物资已供买方或使用单位出具的投标人履约情况证明。</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2.1.2专用资格要求：见附表1。</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.2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不接受联合体投标。</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 xml:space="preserve">.3 </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必须提供满足</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文件要求的投标物资，且制造地、生产线、生产工艺及原材料等始终与投标承诺一致。</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.4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物资一包一投。</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7" w:name="_Toc27984"/>
      <w:r>
        <w:rPr>
          <w:rFonts w:hint="eastAsia" w:asciiTheme="minorEastAsia" w:hAnsiTheme="minorEastAsia" w:eastAsiaTheme="minorEastAsia" w:cstheme="minorEastAsia"/>
          <w:color w:val="auto"/>
          <w:sz w:val="21"/>
          <w:szCs w:val="21"/>
          <w:highlight w:val="none"/>
        </w:rPr>
        <w:t>3.竞争性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的获取</w:t>
      </w:r>
      <w:bookmarkEnd w:id="17"/>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3.1 本次竞争性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仅采用在中国中铁采购电子商务平台上以电子版方式发售</w:t>
      </w:r>
      <w:r>
        <w:rPr>
          <w:rFonts w:hint="eastAsia" w:asciiTheme="minorEastAsia" w:hAnsiTheme="minorEastAsia" w:eastAsiaTheme="minorEastAsia" w:cstheme="minorEastAsia"/>
          <w:color w:val="auto"/>
          <w:sz w:val="21"/>
          <w:szCs w:val="21"/>
          <w:highlight w:val="none"/>
          <w:lang w:val="en-US" w:eastAsia="zh-CN"/>
        </w:rPr>
        <w:t>。</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.2购买电子版</w:t>
      </w:r>
      <w:r>
        <w:rPr>
          <w:rFonts w:hint="eastAsia" w:asciiTheme="minorEastAsia" w:hAnsiTheme="minorEastAsia" w:eastAsiaTheme="minorEastAsia" w:cstheme="minorEastAsia"/>
          <w:color w:val="auto"/>
          <w:sz w:val="21"/>
          <w:szCs w:val="21"/>
          <w:highlight w:val="none"/>
          <w:lang w:eastAsia="zh-CN"/>
        </w:rPr>
        <w:t>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的潜在</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cstheme="minorEastAsia"/>
          <w:color w:val="auto"/>
          <w:sz w:val="21"/>
          <w:szCs w:val="21"/>
          <w:highlight w:val="none"/>
          <w:lang w:val="en-US" w:eastAsia="zh-CN"/>
        </w:rPr>
        <w:t>在平台响应后，根据所投包件</w:t>
      </w:r>
      <w:r>
        <w:rPr>
          <w:rFonts w:hint="eastAsia" w:asciiTheme="minorEastAsia" w:hAnsiTheme="minorEastAsia" w:eastAsiaTheme="minorEastAsia" w:cstheme="minorEastAsia"/>
          <w:color w:val="auto"/>
          <w:sz w:val="21"/>
          <w:szCs w:val="21"/>
          <w:highlight w:val="none"/>
        </w:rPr>
        <w:t>请于201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eastAsia="zh-CN"/>
        </w:rPr>
        <w:t>前</w:t>
      </w:r>
      <w:r>
        <w:rPr>
          <w:rFonts w:hint="eastAsia" w:asciiTheme="minorEastAsia" w:hAnsiTheme="minorEastAsia" w:eastAsiaTheme="minorEastAsia" w:cstheme="minorEastAsia"/>
          <w:color w:val="auto"/>
          <w:sz w:val="21"/>
          <w:szCs w:val="21"/>
          <w:highlight w:val="none"/>
        </w:rPr>
        <w:t>将</w:t>
      </w:r>
      <w:r>
        <w:rPr>
          <w:rFonts w:hint="eastAsia" w:asciiTheme="minorEastAsia" w:hAnsiTheme="minorEastAsia" w:cstheme="minorEastAsia"/>
          <w:color w:val="auto"/>
          <w:sz w:val="21"/>
          <w:szCs w:val="21"/>
          <w:highlight w:val="none"/>
          <w:lang w:val="en-US" w:eastAsia="zh-CN"/>
        </w:rPr>
        <w:t>谈判确认函</w:t>
      </w:r>
      <w:r>
        <w:rPr>
          <w:rFonts w:hint="eastAsia" w:asciiTheme="minorEastAsia" w:hAnsiTheme="minorEastAsia" w:eastAsiaTheme="minorEastAsia" w:cstheme="minorEastAsia"/>
          <w:color w:val="auto"/>
          <w:sz w:val="21"/>
          <w:szCs w:val="21"/>
          <w:highlight w:val="none"/>
        </w:rPr>
        <w:t>（附表2）、身份证明、营业执照副本扫描件</w:t>
      </w:r>
      <w:r>
        <w:rPr>
          <w:rFonts w:hint="eastAsia" w:asciiTheme="minorEastAsia" w:hAnsiTheme="minorEastAsia" w:cstheme="minorEastAsia"/>
          <w:color w:val="auto"/>
          <w:sz w:val="21"/>
          <w:szCs w:val="21"/>
          <w:highlight w:val="none"/>
          <w:lang w:val="en-US" w:eastAsia="zh-CN"/>
        </w:rPr>
        <w:t>分别</w:t>
      </w:r>
      <w:r>
        <w:rPr>
          <w:rFonts w:hint="eastAsia" w:asciiTheme="minorEastAsia" w:hAnsiTheme="minorEastAsia" w:eastAsiaTheme="minorEastAsia" w:cstheme="minorEastAsia"/>
          <w:color w:val="auto"/>
          <w:sz w:val="21"/>
          <w:szCs w:val="21"/>
          <w:highlight w:val="none"/>
        </w:rPr>
        <w:t>发送至</w:t>
      </w:r>
      <w:r>
        <w:rPr>
          <w:rFonts w:hint="eastAsia" w:asciiTheme="minorEastAsia" w:hAnsiTheme="minorEastAsia" w:cstheme="minorEastAsia"/>
          <w:color w:val="auto"/>
          <w:sz w:val="21"/>
          <w:szCs w:val="21"/>
          <w:highlight w:val="none"/>
          <w:lang w:val="en-US" w:eastAsia="zh-CN"/>
        </w:rPr>
        <w:t>67595517</w:t>
      </w:r>
      <w:r>
        <w:rPr>
          <w:rFonts w:hint="eastAsia" w:asciiTheme="minorEastAsia" w:hAnsiTheme="minorEastAsia" w:eastAsiaTheme="minorEastAsia" w:cstheme="minorEastAsia"/>
          <w:color w:val="auto"/>
          <w:sz w:val="21"/>
          <w:szCs w:val="21"/>
          <w:highlight w:val="none"/>
        </w:rPr>
        <w:t>@qq.com</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并根据所需购买包件的</w:t>
      </w:r>
      <w:r>
        <w:rPr>
          <w:rFonts w:hint="eastAsia" w:asciiTheme="minorEastAsia" w:hAnsiTheme="minorEastAsia" w:eastAsiaTheme="minorEastAsia" w:cstheme="minorEastAsia"/>
          <w:color w:val="auto"/>
          <w:sz w:val="21"/>
          <w:szCs w:val="21"/>
          <w:highlight w:val="none"/>
          <w:lang w:eastAsia="zh-CN"/>
        </w:rPr>
        <w:t>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售价足额现金转入到</w:t>
      </w:r>
      <w:r>
        <w:rPr>
          <w:rFonts w:hint="eastAsia" w:asciiTheme="minorEastAsia" w:hAnsiTheme="minorEastAsia" w:cstheme="minorEastAsia"/>
          <w:color w:val="auto"/>
          <w:sz w:val="21"/>
          <w:szCs w:val="21"/>
          <w:highlight w:val="none"/>
          <w:lang w:eastAsia="zh-CN"/>
        </w:rPr>
        <w:t>谈判组织单位</w:t>
      </w:r>
      <w:r>
        <w:rPr>
          <w:rFonts w:hint="eastAsia" w:asciiTheme="minorEastAsia" w:hAnsiTheme="minorEastAsia" w:eastAsiaTheme="minorEastAsia" w:cstheme="minorEastAsia"/>
          <w:color w:val="auto"/>
          <w:sz w:val="21"/>
          <w:szCs w:val="21"/>
          <w:highlight w:val="none"/>
        </w:rPr>
        <w:t>指定账户</w:t>
      </w:r>
      <w:r>
        <w:rPr>
          <w:rFonts w:hint="eastAsia" w:asciiTheme="minorEastAsia" w:hAnsiTheme="minorEastAsia" w:eastAsiaTheme="minorEastAsia" w:cstheme="minorEastAsia"/>
          <w:b/>
          <w:bCs/>
          <w:color w:val="auto"/>
          <w:sz w:val="21"/>
          <w:szCs w:val="21"/>
          <w:highlight w:val="none"/>
        </w:rPr>
        <w:t>（银行信息：开户名称：中铁四局集团第四工程有限公司，开户银行：</w:t>
      </w:r>
      <w:r>
        <w:rPr>
          <w:rFonts w:hint="eastAsia" w:ascii="宋体" w:hAnsi="宋体" w:eastAsia="宋体" w:cs="宋体"/>
          <w:b/>
          <w:bCs/>
          <w:sz w:val="21"/>
          <w:szCs w:val="21"/>
          <w:highlight w:val="none"/>
        </w:rPr>
        <w:t>中国农业银行股份有限公司合肥新站高新区支行</w:t>
      </w:r>
      <w:r>
        <w:rPr>
          <w:rFonts w:hint="eastAsia" w:asciiTheme="minorEastAsia" w:hAnsiTheme="minorEastAsia" w:eastAsiaTheme="minorEastAsia" w:cstheme="minorEastAsia"/>
          <w:b/>
          <w:bCs/>
          <w:color w:val="auto"/>
          <w:sz w:val="21"/>
          <w:szCs w:val="21"/>
          <w:highlight w:val="none"/>
        </w:rPr>
        <w:t>，账号：12081101040002519），在汇款单上注明标书款、项目名称及所投包件号（如：标书款</w:t>
      </w:r>
      <w:r>
        <w:rPr>
          <w:rFonts w:hint="eastAsia" w:asciiTheme="minorEastAsia" w:hAnsiTheme="minorEastAsia" w:cstheme="minorEastAsia"/>
          <w:b/>
          <w:bCs/>
          <w:color w:val="auto"/>
          <w:sz w:val="21"/>
          <w:szCs w:val="21"/>
          <w:highlight w:val="none"/>
          <w:lang w:val="en-US" w:eastAsia="zh-CN"/>
        </w:rPr>
        <w:t>1190</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太原市政</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GC</w:t>
      </w:r>
      <w:r>
        <w:rPr>
          <w:rFonts w:hint="eastAsia" w:asciiTheme="minorEastAsia" w:hAnsiTheme="minorEastAsia" w:eastAsiaTheme="minorEastAsia" w:cstheme="minorEastAsia"/>
          <w:b/>
          <w:bCs/>
          <w:color w:val="auto"/>
          <w:sz w:val="21"/>
          <w:szCs w:val="21"/>
          <w:highlight w:val="none"/>
        </w:rPr>
        <w:t>-01）</w:t>
      </w:r>
      <w:r>
        <w:rPr>
          <w:rFonts w:hint="eastAsia" w:asciiTheme="minorEastAsia" w:hAnsiTheme="minorEastAsia" w:eastAsiaTheme="minorEastAsia" w:cstheme="minorEastAsia"/>
          <w:color w:val="auto"/>
          <w:sz w:val="21"/>
          <w:szCs w:val="21"/>
          <w:highlight w:val="none"/>
        </w:rPr>
        <w:t>，汇款单位名称与</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名称须完全一致。</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可将银行回单扫描件发送至</w:t>
      </w:r>
      <w:r>
        <w:rPr>
          <w:rFonts w:hint="eastAsia" w:asciiTheme="minorEastAsia" w:hAnsiTheme="minorEastAsia" w:eastAsiaTheme="minorEastAsia" w:cstheme="minorEastAsia"/>
          <w:color w:val="auto"/>
          <w:sz w:val="21"/>
          <w:szCs w:val="21"/>
          <w:highlight w:val="none"/>
          <w:lang w:eastAsia="zh-CN"/>
        </w:rPr>
        <w:t>谈判</w:t>
      </w:r>
      <w:r>
        <w:rPr>
          <w:rFonts w:hint="eastAsia" w:asciiTheme="minorEastAsia" w:hAnsiTheme="minorEastAsia" w:eastAsiaTheme="minorEastAsia" w:cstheme="minorEastAsia"/>
          <w:color w:val="auto"/>
          <w:sz w:val="21"/>
          <w:szCs w:val="21"/>
          <w:highlight w:val="none"/>
        </w:rPr>
        <w:t>组织单位，</w:t>
      </w:r>
      <w:r>
        <w:rPr>
          <w:rFonts w:hint="eastAsia" w:asciiTheme="minorEastAsia" w:hAnsiTheme="minorEastAsia" w:eastAsiaTheme="minorEastAsia" w:cstheme="minorEastAsia"/>
          <w:color w:val="auto"/>
          <w:sz w:val="21"/>
          <w:szCs w:val="21"/>
          <w:highlight w:val="none"/>
          <w:lang w:eastAsia="zh-CN"/>
        </w:rPr>
        <w:t>谈判</w:t>
      </w:r>
      <w:r>
        <w:rPr>
          <w:rFonts w:hint="eastAsia" w:asciiTheme="minorEastAsia" w:hAnsiTheme="minorEastAsia" w:eastAsiaTheme="minorEastAsia" w:cstheme="minorEastAsia"/>
          <w:color w:val="auto"/>
          <w:sz w:val="21"/>
          <w:szCs w:val="21"/>
          <w:highlight w:val="none"/>
        </w:rPr>
        <w:t>组织单位收到信息经核实后，将电子版</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发送至</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cstheme="minorEastAsia"/>
          <w:color w:val="auto"/>
          <w:sz w:val="21"/>
          <w:szCs w:val="21"/>
          <w:highlight w:val="none"/>
          <w:lang w:val="en-US" w:eastAsia="zh-CN"/>
        </w:rPr>
        <w:t>确认函</w:t>
      </w:r>
      <w:r>
        <w:rPr>
          <w:rFonts w:hint="eastAsia" w:asciiTheme="minorEastAsia" w:hAnsiTheme="minorEastAsia" w:eastAsiaTheme="minorEastAsia" w:cstheme="minorEastAsia"/>
          <w:color w:val="auto"/>
          <w:sz w:val="21"/>
          <w:szCs w:val="21"/>
          <w:highlight w:val="none"/>
        </w:rPr>
        <w:t>提供的邮箱中。</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lang w:val="en-US" w:eastAsia="zh-CN"/>
        </w:rPr>
        <w:t>每套售价详见附表1，</w:t>
      </w:r>
      <w:r>
        <w:rPr>
          <w:rFonts w:hint="eastAsia" w:asciiTheme="minorEastAsia" w:hAnsiTheme="minorEastAsia" w:eastAsiaTheme="minorEastAsia" w:cstheme="minorEastAsia"/>
          <w:color w:val="auto"/>
          <w:sz w:val="21"/>
          <w:szCs w:val="21"/>
          <w:highlight w:val="none"/>
        </w:rPr>
        <w:t>竞争性谈判</w:t>
      </w:r>
      <w:r>
        <w:rPr>
          <w:rFonts w:hint="eastAsia" w:asciiTheme="minorEastAsia" w:hAnsiTheme="minorEastAsia" w:eastAsiaTheme="minorEastAsia" w:cstheme="minorEastAsia"/>
          <w:color w:val="auto"/>
          <w:sz w:val="21"/>
          <w:szCs w:val="21"/>
          <w:highlight w:val="none"/>
          <w:lang w:val="en-US" w:eastAsia="zh-CN"/>
        </w:rPr>
        <w:t>售后不退</w:t>
      </w:r>
      <w:r>
        <w:rPr>
          <w:rFonts w:hint="eastAsia" w:asciiTheme="minorEastAsia" w:hAnsiTheme="minorEastAsia" w:cstheme="minorEastAsia"/>
          <w:color w:val="auto"/>
          <w:sz w:val="21"/>
          <w:szCs w:val="21"/>
          <w:highlight w:val="none"/>
          <w:lang w:val="en-US" w:eastAsia="zh-CN"/>
        </w:rPr>
        <w:t>（不提供发票）</w:t>
      </w:r>
      <w:r>
        <w:rPr>
          <w:rFonts w:hint="eastAsia" w:asciiTheme="minorEastAsia" w:hAnsiTheme="minorEastAsia" w:eastAsiaTheme="minorEastAsia" w:cstheme="minorEastAsia"/>
          <w:color w:val="auto"/>
          <w:kern w:val="0"/>
          <w:sz w:val="21"/>
          <w:szCs w:val="21"/>
          <w:highlight w:val="none"/>
        </w:rPr>
        <w:t>。</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8" w:name="_Toc17952"/>
      <w:r>
        <w:rPr>
          <w:rFonts w:hint="eastAsia" w:asciiTheme="minorEastAsia" w:hAnsiTheme="minorEastAsia" w:eastAsiaTheme="minorEastAsia" w:cstheme="minorEastAsia"/>
          <w:color w:val="auto"/>
          <w:sz w:val="21"/>
          <w:szCs w:val="21"/>
          <w:highlight w:val="none"/>
        </w:rPr>
        <w:t>4.竞争性谈判投标文件的递交与开标</w:t>
      </w:r>
      <w:bookmarkEnd w:id="18"/>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19" w:name="_Toc14393"/>
      <w:r>
        <w:rPr>
          <w:rFonts w:hint="eastAsia" w:asciiTheme="minorEastAsia" w:hAnsiTheme="minorEastAsia" w:eastAsiaTheme="minorEastAsia" w:cstheme="minorEastAsia"/>
          <w:color w:val="auto"/>
          <w:sz w:val="21"/>
          <w:szCs w:val="21"/>
          <w:highlight w:val="none"/>
        </w:rPr>
        <w:t xml:space="preserve">4.1 </w:t>
      </w:r>
      <w:r>
        <w:rPr>
          <w:rFonts w:hint="eastAsia" w:asciiTheme="minorEastAsia" w:hAnsiTheme="minorEastAsia" w:cstheme="minorEastAsia"/>
          <w:color w:val="auto"/>
          <w:sz w:val="21"/>
          <w:szCs w:val="21"/>
          <w:highlight w:val="none"/>
          <w:lang w:eastAsia="zh-CN"/>
        </w:rPr>
        <w:t>响应文件</w:t>
      </w:r>
      <w:r>
        <w:rPr>
          <w:rFonts w:hint="eastAsia" w:asciiTheme="minorEastAsia" w:hAnsiTheme="minorEastAsia" w:eastAsiaTheme="minorEastAsia" w:cstheme="minorEastAsia"/>
          <w:color w:val="auto"/>
          <w:sz w:val="21"/>
          <w:szCs w:val="21"/>
          <w:highlight w:val="none"/>
        </w:rPr>
        <w:t>的递交</w:t>
      </w:r>
      <w:bookmarkEnd w:id="19"/>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（1）递交时间：201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18</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val="en-US" w:eastAsia="zh-CN"/>
        </w:rPr>
        <w:t>:00</w:t>
      </w:r>
      <w:r>
        <w:rPr>
          <w:rFonts w:hint="eastAsia" w:asciiTheme="minorEastAsia" w:hAnsiTheme="minorEastAsia" w:eastAsiaTheme="minorEastAsia" w:cstheme="minorEastAsia"/>
          <w:color w:val="auto"/>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bookmarkStart w:id="20" w:name="_Toc448788415"/>
      <w:r>
        <w:rPr>
          <w:rFonts w:hint="eastAsia" w:asciiTheme="minorEastAsia" w:hAnsiTheme="minorEastAsia" w:eastAsiaTheme="minorEastAsia" w:cstheme="minorEastAsia"/>
          <w:color w:val="auto"/>
          <w:sz w:val="21"/>
          <w:szCs w:val="21"/>
          <w:highlight w:val="none"/>
        </w:rPr>
        <w:t>（2）递交</w:t>
      </w:r>
      <w:bookmarkEnd w:id="20"/>
      <w:r>
        <w:rPr>
          <w:rFonts w:hint="eastAsia" w:asciiTheme="minorEastAsia" w:hAnsiTheme="minorEastAsia" w:eastAsiaTheme="minorEastAsia" w:cstheme="minorEastAsia"/>
          <w:color w:val="auto"/>
          <w:sz w:val="21"/>
          <w:szCs w:val="21"/>
          <w:highlight w:val="none"/>
        </w:rPr>
        <w:t>地点：</w:t>
      </w:r>
      <w:bookmarkStart w:id="21" w:name="_Toc448788416"/>
      <w:r>
        <w:rPr>
          <w:rFonts w:hint="eastAsia" w:asciiTheme="minorEastAsia" w:hAnsiTheme="minorEastAsia" w:eastAsiaTheme="minorEastAsia" w:cstheme="minorEastAsia"/>
          <w:color w:val="auto"/>
          <w:sz w:val="21"/>
          <w:szCs w:val="21"/>
          <w:highlight w:val="none"/>
        </w:rPr>
        <w:t>中铁四局集团</w:t>
      </w:r>
      <w:r>
        <w:rPr>
          <w:rFonts w:hint="eastAsia" w:asciiTheme="minorEastAsia" w:hAnsiTheme="minorEastAsia" w:cstheme="minorEastAsia"/>
          <w:color w:val="auto"/>
          <w:sz w:val="21"/>
          <w:szCs w:val="21"/>
          <w:highlight w:val="none"/>
          <w:lang w:val="en-US" w:eastAsia="zh-CN"/>
        </w:rPr>
        <w:t>四公司</w:t>
      </w:r>
      <w:r>
        <w:rPr>
          <w:rFonts w:hint="eastAsia" w:asciiTheme="minorEastAsia" w:hAnsiTheme="minorEastAsia" w:eastAsiaTheme="minorEastAsia" w:cstheme="minorEastAsia"/>
          <w:color w:val="auto"/>
          <w:sz w:val="21"/>
          <w:szCs w:val="21"/>
          <w:highlight w:val="none"/>
        </w:rPr>
        <w:t>工地模架中心会议室</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cstheme="minorEastAsia"/>
          <w:color w:val="auto"/>
          <w:sz w:val="21"/>
          <w:szCs w:val="21"/>
          <w:highlight w:val="none"/>
          <w:lang w:val="en-US" w:eastAsia="zh-CN"/>
        </w:rPr>
        <w:t>安徽省合肥市阜阳北路454号工地模架中心（阜阳北路生活小区内）。</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（3）其他要求</w:t>
      </w:r>
      <w:bookmarkEnd w:id="21"/>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以纸质版的形式递交，逾期送达的或者未送达指定地点的</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，采购单位不予受理。</w:t>
      </w:r>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22" w:name="_Toc32637"/>
      <w:r>
        <w:rPr>
          <w:rFonts w:hint="eastAsia" w:asciiTheme="minorEastAsia" w:hAnsiTheme="minorEastAsia" w:eastAsiaTheme="minorEastAsia" w:cstheme="minorEastAsia"/>
          <w:color w:val="auto"/>
          <w:sz w:val="21"/>
          <w:szCs w:val="21"/>
          <w:highlight w:val="none"/>
        </w:rPr>
        <w:t>4.2 开标</w:t>
      </w:r>
      <w:bookmarkEnd w:id="22"/>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（1）开标时间：201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18</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10:00</w:t>
      </w:r>
      <w:r>
        <w:rPr>
          <w:rFonts w:hint="eastAsia" w:asciiTheme="minorEastAsia" w:hAnsiTheme="minorEastAsia" w:eastAsiaTheme="minorEastAsia" w:cstheme="minorEastAsia"/>
          <w:color w:val="auto"/>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（2）开标地点：中铁四局集团四公司工地模架中心会议室</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3" w:name="_Toc22389"/>
      <w:r>
        <w:rPr>
          <w:rFonts w:hint="eastAsia" w:asciiTheme="minorEastAsia" w:hAnsiTheme="minorEastAsia" w:eastAsiaTheme="minorEastAsia" w:cstheme="minorEastAsia"/>
          <w:color w:val="auto"/>
          <w:sz w:val="21"/>
          <w:szCs w:val="21"/>
          <w:highlight w:val="none"/>
        </w:rPr>
        <w:t>5.公告发布媒介</w:t>
      </w:r>
      <w:bookmarkEnd w:id="23"/>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sz w:val="21"/>
          <w:szCs w:val="21"/>
          <w:highlight w:val="none"/>
        </w:rPr>
        <w:t>本次</w:t>
      </w:r>
      <w:r>
        <w:rPr>
          <w:rFonts w:hint="eastAsia" w:ascii="宋体" w:hAnsi="宋体" w:cs="宋体"/>
          <w:sz w:val="21"/>
          <w:szCs w:val="21"/>
          <w:highlight w:val="none"/>
          <w:lang w:eastAsia="zh-CN"/>
        </w:rPr>
        <w:t>竞争性谈判</w:t>
      </w:r>
      <w:r>
        <w:rPr>
          <w:rFonts w:hint="eastAsia" w:ascii="宋体" w:hAnsi="宋体" w:eastAsia="宋体" w:cs="宋体"/>
          <w:sz w:val="21"/>
          <w:szCs w:val="21"/>
          <w:highlight w:val="none"/>
        </w:rPr>
        <w:t>公告在</w:t>
      </w:r>
      <w:r>
        <w:rPr>
          <w:rFonts w:hint="eastAsia" w:ascii="宋体" w:hAnsi="宋体"/>
          <w:szCs w:val="21"/>
          <w:highlight w:val="none"/>
        </w:rPr>
        <w:t>中国采购与招标网（</w:t>
      </w:r>
      <w:r>
        <w:rPr>
          <w:rFonts w:ascii="宋体" w:hAnsi="宋体"/>
          <w:szCs w:val="21"/>
          <w:highlight w:val="none"/>
        </w:rPr>
        <w:t>www.chinabidding.com.cn</w:t>
      </w:r>
      <w:r>
        <w:rPr>
          <w:rFonts w:hint="eastAsia" w:ascii="宋体" w:hAnsi="宋体"/>
          <w:szCs w:val="21"/>
          <w:highlight w:val="none"/>
        </w:rPr>
        <w:t>）和中国中铁电子商务采购平台（</w:t>
      </w:r>
      <w:r>
        <w:rPr>
          <w:rFonts w:ascii="宋体" w:hAnsi="宋体"/>
          <w:szCs w:val="21"/>
          <w:highlight w:val="none"/>
        </w:rPr>
        <w:t>www.crecgec.com</w:t>
      </w:r>
      <w:r>
        <w:rPr>
          <w:rFonts w:hint="eastAsia" w:ascii="宋体" w:hAnsi="宋体"/>
          <w:szCs w:val="21"/>
          <w:highlight w:val="none"/>
        </w:rPr>
        <w:t>）同时发布</w:t>
      </w:r>
      <w:r>
        <w:rPr>
          <w:rFonts w:hint="eastAsia" w:ascii="宋体" w:hAnsi="宋体" w:eastAsia="宋体" w:cs="宋体"/>
          <w:sz w:val="21"/>
          <w:szCs w:val="21"/>
          <w:highlight w:val="none"/>
        </w:rPr>
        <w:t>。</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4" w:name="_Toc29427"/>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w:t>
      </w:r>
      <w:bookmarkEnd w:id="24"/>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bookmarkStart w:id="25" w:name="_Toc2964"/>
      <w:r>
        <w:rPr>
          <w:rFonts w:hint="eastAsia" w:asciiTheme="minorEastAsia" w:hAnsiTheme="minorEastAsia" w:eastAsiaTheme="minorEastAsia" w:cstheme="minorEastAsia"/>
          <w:color w:val="auto"/>
          <w:sz w:val="21"/>
          <w:szCs w:val="21"/>
          <w:highlight w:val="none"/>
        </w:rPr>
        <w:t>递交</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文件时须交纳</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保证金（具体数额见附表1），</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w:t>
      </w:r>
      <w:r>
        <w:rPr>
          <w:rFonts w:hint="eastAsia" w:asciiTheme="minorEastAsia" w:hAnsiTheme="minorEastAsia" w:cstheme="minorEastAsia"/>
          <w:color w:val="auto"/>
          <w:sz w:val="21"/>
          <w:szCs w:val="21"/>
          <w:highlight w:val="none"/>
          <w:lang w:val="en-US" w:eastAsia="zh-CN"/>
        </w:rPr>
        <w:t>根据所投包件</w:t>
      </w:r>
      <w:r>
        <w:rPr>
          <w:rFonts w:hint="eastAsia" w:asciiTheme="minorEastAsia" w:hAnsiTheme="minorEastAsia" w:eastAsiaTheme="minorEastAsia" w:cstheme="minorEastAsia"/>
          <w:color w:val="auto"/>
          <w:sz w:val="21"/>
          <w:szCs w:val="21"/>
          <w:highlight w:val="none"/>
        </w:rPr>
        <w:t>请于</w:t>
      </w:r>
      <w:r>
        <w:rPr>
          <w:rFonts w:hint="eastAsia" w:asciiTheme="minorEastAsia" w:hAnsiTheme="minorEastAsia" w:cstheme="minorEastAsia"/>
          <w:color w:val="auto"/>
          <w:sz w:val="21"/>
          <w:szCs w:val="21"/>
          <w:highlight w:val="none"/>
          <w:lang w:val="en-US" w:eastAsia="zh-CN"/>
        </w:rPr>
        <w:t>4月17日</w:t>
      </w:r>
      <w:r>
        <w:rPr>
          <w:rFonts w:hint="eastAsia" w:asciiTheme="minorEastAsia" w:hAnsiTheme="minorEastAsia" w:eastAsiaTheme="minorEastAsia" w:cstheme="minorEastAsia"/>
          <w:color w:val="auto"/>
          <w:sz w:val="21"/>
          <w:szCs w:val="21"/>
          <w:highlight w:val="none"/>
          <w:lang w:val="en-US" w:eastAsia="zh-CN"/>
        </w:rPr>
        <w:t>14：00前</w:t>
      </w:r>
      <w:r>
        <w:rPr>
          <w:rFonts w:hint="eastAsia" w:asciiTheme="minorEastAsia" w:hAnsiTheme="minorEastAsia" w:eastAsiaTheme="minorEastAsia" w:cstheme="minorEastAsia"/>
          <w:color w:val="auto"/>
          <w:sz w:val="21"/>
          <w:szCs w:val="21"/>
          <w:highlight w:val="none"/>
        </w:rPr>
        <w:t>汇入中铁四局集团第四工程有限公司</w:t>
      </w:r>
      <w:r>
        <w:rPr>
          <w:rFonts w:hint="eastAsia" w:asciiTheme="minorEastAsia" w:hAnsiTheme="minorEastAsia" w:eastAsiaTheme="minorEastAsia" w:cstheme="minorEastAsia"/>
          <w:color w:val="auto"/>
          <w:sz w:val="21"/>
          <w:szCs w:val="21"/>
          <w:highlight w:val="none"/>
          <w:lang w:eastAsia="zh-CN"/>
        </w:rPr>
        <w:t>指定</w:t>
      </w:r>
      <w:r>
        <w:rPr>
          <w:rFonts w:hint="eastAsia" w:asciiTheme="minorEastAsia" w:hAnsiTheme="minorEastAsia" w:eastAsiaTheme="minorEastAsia" w:cstheme="minorEastAsia"/>
          <w:color w:val="auto"/>
          <w:sz w:val="21"/>
          <w:szCs w:val="21"/>
          <w:highlight w:val="none"/>
        </w:rPr>
        <w:t>账户</w:t>
      </w:r>
      <w:r>
        <w:rPr>
          <w:rFonts w:hint="eastAsia" w:asciiTheme="minorEastAsia" w:hAnsiTheme="minorEastAsia" w:eastAsiaTheme="minorEastAsia" w:cstheme="minorEastAsia"/>
          <w:b/>
          <w:bCs/>
          <w:color w:val="auto"/>
          <w:sz w:val="21"/>
          <w:szCs w:val="21"/>
          <w:highlight w:val="none"/>
        </w:rPr>
        <w:t>（银行信息：开户名称：中铁四局集团第四工程有限公司，开户银行：</w:t>
      </w:r>
      <w:r>
        <w:rPr>
          <w:rFonts w:hint="eastAsia" w:ascii="宋体" w:hAnsi="宋体" w:eastAsia="宋体" w:cs="宋体"/>
          <w:b/>
          <w:bCs/>
          <w:sz w:val="21"/>
          <w:szCs w:val="21"/>
          <w:highlight w:val="none"/>
        </w:rPr>
        <w:t>中国农业银行股份有限公司合肥新站高新区支行</w:t>
      </w:r>
      <w:r>
        <w:rPr>
          <w:rFonts w:hint="eastAsia" w:asciiTheme="minorEastAsia" w:hAnsiTheme="minorEastAsia" w:eastAsiaTheme="minorEastAsia" w:cstheme="minorEastAsia"/>
          <w:b/>
          <w:bCs/>
          <w:color w:val="auto"/>
          <w:sz w:val="21"/>
          <w:szCs w:val="21"/>
          <w:highlight w:val="none"/>
        </w:rPr>
        <w:t>，账号：12081101040002519），在汇款单上注明标书款、项目名称及所投包件号（如：</w:t>
      </w:r>
      <w:r>
        <w:rPr>
          <w:rFonts w:hint="eastAsia" w:asciiTheme="minorEastAsia" w:hAnsiTheme="minorEastAsia" w:eastAsiaTheme="minorEastAsia" w:cstheme="minorEastAsia"/>
          <w:b/>
          <w:bCs/>
          <w:color w:val="auto"/>
          <w:sz w:val="21"/>
          <w:szCs w:val="21"/>
          <w:highlight w:val="none"/>
          <w:lang w:eastAsia="zh-CN"/>
        </w:rPr>
        <w:t>投标保证金</w:t>
      </w:r>
      <w:r>
        <w:rPr>
          <w:rFonts w:hint="eastAsia" w:asciiTheme="minorEastAsia" w:hAnsiTheme="minorEastAsia" w:cstheme="minorEastAsia"/>
          <w:b/>
          <w:bCs/>
          <w:color w:val="auto"/>
          <w:sz w:val="21"/>
          <w:szCs w:val="21"/>
          <w:highlight w:val="none"/>
          <w:lang w:val="en-US" w:eastAsia="zh-CN"/>
        </w:rPr>
        <w:t>1190</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太原市政、GC-01</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确保到账，并在汇款单上注明所投项目名称及包件号，不接受个人汇款，</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保证金汇款单位名称与</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名称须完全一致。未按期汇入</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保证金的，其</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文件作废标处理。</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保证金待</w:t>
      </w:r>
      <w:r>
        <w:rPr>
          <w:rFonts w:hint="eastAsia" w:asciiTheme="minorEastAsia" w:hAnsiTheme="minorEastAsia" w:cstheme="minorEastAsia"/>
          <w:color w:val="auto"/>
          <w:sz w:val="21"/>
          <w:szCs w:val="21"/>
          <w:highlight w:val="none"/>
          <w:lang w:val="en-US" w:eastAsia="zh-CN"/>
        </w:rPr>
        <w:t>成交通知书发出后5个工作日内</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文件规定不计息退还</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w:t>
      </w:r>
      <w:bookmarkEnd w:id="25"/>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6" w:name="_Toc28727"/>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采购单位</w:t>
      </w:r>
      <w:r>
        <w:rPr>
          <w:rFonts w:hint="eastAsia" w:asciiTheme="minorEastAsia" w:hAnsiTheme="minorEastAsia" w:eastAsiaTheme="minorEastAsia" w:cstheme="minorEastAsia"/>
          <w:color w:val="auto"/>
          <w:sz w:val="21"/>
          <w:szCs w:val="21"/>
          <w:highlight w:val="none"/>
        </w:rPr>
        <w:t>信息及联系方式</w:t>
      </w:r>
      <w:bookmarkEnd w:id="26"/>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cstheme="minorEastAsia"/>
          <w:color w:val="auto"/>
          <w:kern w:val="0"/>
          <w:sz w:val="21"/>
          <w:szCs w:val="21"/>
          <w:highlight w:val="none"/>
          <w:lang w:val="en-US" w:eastAsia="zh-CN"/>
        </w:rPr>
        <w:t>谈判组织单位：中铁四局集团第四工程有限公司</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采购单位：</w:t>
      </w:r>
      <w:r>
        <w:rPr>
          <w:rFonts w:hint="eastAsia" w:asciiTheme="minorEastAsia" w:hAnsiTheme="minorEastAsia" w:cstheme="minorEastAsia"/>
          <w:color w:val="auto"/>
          <w:kern w:val="0"/>
          <w:sz w:val="21"/>
          <w:szCs w:val="21"/>
          <w:highlight w:val="none"/>
          <w:lang w:val="en-US" w:eastAsia="zh-CN"/>
        </w:rPr>
        <w:t>中铁四局集团四公司太原市晋阳街改渠及十二号线下穿工程项目经理部</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联系人：</w:t>
      </w:r>
      <w:r>
        <w:rPr>
          <w:rFonts w:hint="eastAsia" w:asciiTheme="minorEastAsia" w:hAnsiTheme="minorEastAsia" w:cstheme="minorEastAsia"/>
          <w:color w:val="auto"/>
          <w:kern w:val="0"/>
          <w:sz w:val="21"/>
          <w:szCs w:val="21"/>
          <w:highlight w:val="none"/>
          <w:lang w:val="en-US" w:eastAsia="zh-CN"/>
        </w:rPr>
        <w:t xml:space="preserve">李冬             </w:t>
      </w:r>
      <w:r>
        <w:rPr>
          <w:rFonts w:hint="eastAsia" w:asciiTheme="minorEastAsia" w:hAnsiTheme="minorEastAsia" w:eastAsiaTheme="minorEastAsia" w:cstheme="minorEastAsia"/>
          <w:color w:val="auto"/>
          <w:kern w:val="0"/>
          <w:sz w:val="21"/>
          <w:szCs w:val="21"/>
          <w:highlight w:val="none"/>
          <w:lang w:eastAsia="zh-CN"/>
        </w:rPr>
        <w:t>电话：15955148262</w:t>
      </w:r>
      <w:r>
        <w:rPr>
          <w:rFonts w:hint="eastAsia" w:asciiTheme="minorEastAsia" w:hAnsiTheme="minorEastAsia" w:cstheme="minorEastAsia"/>
          <w:color w:val="auto"/>
          <w:kern w:val="0"/>
          <w:sz w:val="21"/>
          <w:szCs w:val="21"/>
          <w:highlight w:val="none"/>
          <w:lang w:val="en-US" w:eastAsia="zh-CN"/>
        </w:rPr>
        <w:t xml:space="preserve"> </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地址：太原市小店区真武路玉龙苑福旺商贸城5楼</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sectPr>
          <w:footerReference r:id="rId3" w:type="default"/>
          <w:pgSz w:w="11906" w:h="16838"/>
          <w:pgMar w:top="1418" w:right="1418" w:bottom="1418" w:left="1418" w:header="851" w:footer="851" w:gutter="0"/>
          <w:pgNumType w:fmt="decimal" w:start="1"/>
          <w:cols w:space="720" w:num="1"/>
          <w:docGrid w:linePitch="312" w:charSpace="0"/>
        </w:sect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201</w:t>
      </w:r>
      <w:r>
        <w:rPr>
          <w:rFonts w:hint="eastAsia" w:asciiTheme="minorEastAsia" w:hAnsi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年</w:t>
      </w:r>
      <w:r>
        <w:rPr>
          <w:rFonts w:hint="eastAsia" w:asciiTheme="minorEastAsia" w:hAnsi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月</w:t>
      </w:r>
      <w:r>
        <w:rPr>
          <w:rFonts w:hint="eastAsia" w:asciiTheme="minorEastAsia" w:hAnsi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日</w:t>
      </w:r>
    </w:p>
    <w:p>
      <w:pPr>
        <w:jc w:val="left"/>
        <w:rPr>
          <w:rFonts w:ascii="宋体" w:hAnsi="宋体"/>
          <w:b/>
          <w:color w:val="auto"/>
          <w:sz w:val="24"/>
          <w:highlight w:val="none"/>
        </w:rPr>
      </w:pPr>
      <w:bookmarkStart w:id="27" w:name="_Toc8105"/>
      <w:bookmarkStart w:id="28" w:name="_Toc7008"/>
      <w:r>
        <w:rPr>
          <w:rStyle w:val="9"/>
          <w:rFonts w:hint="eastAsia"/>
          <w:color w:val="auto"/>
          <w:highlight w:val="none"/>
        </w:rPr>
        <w:t xml:space="preserve">附表1  </w:t>
      </w:r>
      <w:bookmarkEnd w:id="27"/>
      <w:bookmarkEnd w:id="28"/>
      <w:r>
        <w:rPr>
          <w:rFonts w:hint="eastAsia" w:ascii="宋体" w:hAnsi="宋体"/>
          <w:color w:val="auto"/>
          <w:highlight w:val="none"/>
        </w:rPr>
        <w:t xml:space="preserve">                                            </w:t>
      </w:r>
      <w:r>
        <w:rPr>
          <w:rFonts w:hint="eastAsia" w:ascii="宋体" w:hAnsi="宋体"/>
          <w:b/>
          <w:color w:val="auto"/>
          <w:sz w:val="24"/>
          <w:highlight w:val="none"/>
        </w:rPr>
        <w:t>竞争性谈判物资包件划分表</w:t>
      </w:r>
    </w:p>
    <w:bookmarkEnd w:id="0"/>
    <w:tbl>
      <w:tblPr>
        <w:tblStyle w:val="7"/>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318"/>
        <w:gridCol w:w="876"/>
        <w:gridCol w:w="888"/>
        <w:gridCol w:w="936"/>
        <w:gridCol w:w="6332"/>
        <w:gridCol w:w="1240"/>
        <w:gridCol w:w="122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物资</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名称</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包件号</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计量</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单位</w:t>
            </w:r>
          </w:p>
        </w:tc>
        <w:tc>
          <w:tcPr>
            <w:tcW w:w="9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包件</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数量</w:t>
            </w:r>
          </w:p>
        </w:tc>
        <w:tc>
          <w:tcPr>
            <w:tcW w:w="63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投标人资格条件</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收货人</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谈判文件售价</w:t>
            </w:r>
            <w:r>
              <w:rPr>
                <w:rStyle w:val="10"/>
                <w:rFonts w:hint="eastAsia" w:asciiTheme="minorEastAsia" w:hAnsiTheme="minorEastAsia" w:eastAsiaTheme="minorEastAsia" w:cstheme="minorEastAsia"/>
                <w:b/>
                <w:bCs/>
                <w:color w:val="auto"/>
                <w:sz w:val="21"/>
                <w:szCs w:val="21"/>
                <w:highlight w:val="none"/>
                <w:lang w:val="en-US" w:eastAsia="zh-CN" w:bidi="ar"/>
              </w:rPr>
              <w:t>(元)</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谈判保证金</w:t>
            </w:r>
            <w:r>
              <w:rPr>
                <w:rStyle w:val="10"/>
                <w:rFonts w:hint="eastAsia" w:asciiTheme="minorEastAsia" w:hAnsiTheme="minorEastAsia" w:eastAsiaTheme="minorEastAsia" w:cstheme="minorEastAsia"/>
                <w:b/>
                <w:bCs/>
                <w:color w:val="auto"/>
                <w:sz w:val="21"/>
                <w:szCs w:val="21"/>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3" w:hRule="exac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钢材</w:t>
            </w:r>
          </w:p>
        </w:tc>
        <w:tc>
          <w:tcPr>
            <w:tcW w:w="876"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GC</w:t>
            </w:r>
            <w:r>
              <w:rPr>
                <w:rFonts w:hint="eastAsia" w:asciiTheme="minorEastAsia" w:hAnsiTheme="minorEastAsia" w:eastAsiaTheme="minorEastAsia" w:cstheme="minorEastAsia"/>
                <w:sz w:val="18"/>
                <w:szCs w:val="18"/>
                <w:highlight w:val="none"/>
                <w:lang w:val="en-US" w:eastAsia="zh-CN"/>
              </w:rPr>
              <w:t>-01</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吨</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11800</w:t>
            </w:r>
          </w:p>
        </w:tc>
        <w:tc>
          <w:tcPr>
            <w:tcW w:w="6332" w:type="dxa"/>
            <w:tcBorders>
              <w:top w:val="single" w:color="auto" w:sz="4" w:space="0"/>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生产能力：投标产品生产厂须具备长材年产100万吨以上的生产能力，自身具有与钢材产能配套的炼钢能力，生产工艺、装备必须符合国家钢铁产业发展政策的相关规定，具有有效的投标产品全国工业产品生产许可证。</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财务能力：代理商注册资金不低于1000万人民币，具有近一年经会计师事务所或审计机构审计的财务会计报表。</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质量保证能力：被邀请谈判供应商需提供代理生产厂家ISO9000质量管理体系认证，产品符合国家现行标准，具有近两年由省、部级及以上检验、检测机构出具的投标物资有效合格的质量检验报告。</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其他要求：代理商必须具有满足本资格条件要求的生产厂出具的对投标包件的唯一授权函，生产厂不得与其授权的代理商在同一包件中投标；生产厂或代理商应具备跨地域供应、集散能力。</w:t>
            </w:r>
          </w:p>
        </w:tc>
        <w:tc>
          <w:tcPr>
            <w:tcW w:w="1240"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中铁四局集团太原市政</w:t>
            </w:r>
            <w:r>
              <w:rPr>
                <w:rFonts w:hint="eastAsia" w:asciiTheme="minorEastAsia" w:hAnsiTheme="minorEastAsia" w:eastAsiaTheme="minorEastAsia" w:cstheme="minorEastAsia"/>
                <w:sz w:val="18"/>
                <w:szCs w:val="18"/>
                <w:highlight w:val="none"/>
                <w:lang w:val="en-US" w:eastAsia="zh-CN"/>
              </w:rPr>
              <w:t>项目部</w:t>
            </w:r>
          </w:p>
        </w:tc>
        <w:tc>
          <w:tcPr>
            <w:tcW w:w="1224"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300</w:t>
            </w:r>
          </w:p>
        </w:tc>
        <w:tc>
          <w:tcPr>
            <w:tcW w:w="947" w:type="dxa"/>
            <w:tcBorders>
              <w:top w:val="single" w:color="auto" w:sz="4" w:space="0"/>
              <w:left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10</w:t>
            </w:r>
          </w:p>
        </w:tc>
      </w:tr>
    </w:tbl>
    <w:p>
      <w:pPr>
        <w:spacing w:line="360" w:lineRule="auto"/>
        <w:rPr>
          <w:rFonts w:hint="eastAsia" w:asciiTheme="majorEastAsia" w:hAnsiTheme="majorEastAsia" w:eastAsiaTheme="majorEastAsia" w:cstheme="majorEastAsia"/>
          <w:b w:val="0"/>
          <w:bCs w:val="0"/>
          <w:color w:val="auto"/>
          <w:sz w:val="28"/>
          <w:szCs w:val="28"/>
          <w:highlight w:val="none"/>
          <w:lang w:val="en-US" w:eastAsia="zh-CN"/>
        </w:rPr>
        <w:sectPr>
          <w:pgSz w:w="16838" w:h="11906" w:orient="landscape"/>
          <w:pgMar w:top="1417" w:right="1440" w:bottom="1417" w:left="1418" w:header="851" w:footer="952" w:gutter="0"/>
          <w:pgBorders>
            <w:top w:val="none" w:sz="0" w:space="0"/>
            <w:left w:val="none" w:sz="0" w:space="0"/>
            <w:bottom w:val="none" w:sz="0" w:space="0"/>
            <w:right w:val="none" w:sz="0" w:space="0"/>
          </w:pgBorders>
          <w:pgNumType w:fmt="decimal"/>
          <w:cols w:space="0" w:num="1"/>
          <w:rtlGutter w:val="0"/>
          <w:docGrid w:type="lines" w:linePitch="324" w:charSpace="0"/>
        </w:sectPr>
      </w:pPr>
      <w:r>
        <w:rPr>
          <w:rFonts w:hint="eastAsia" w:ascii="宋体" w:hAnsi="宋体"/>
          <w:color w:val="auto"/>
          <w:highlight w:val="none"/>
        </w:rPr>
        <w:t>注：本次</w:t>
      </w:r>
      <w:r>
        <w:rPr>
          <w:rFonts w:hint="eastAsia" w:ascii="宋体" w:hAnsi="宋体"/>
          <w:color w:val="auto"/>
          <w:highlight w:val="none"/>
          <w:lang w:eastAsia="zh-CN"/>
        </w:rPr>
        <w:t>竞争性谈判</w:t>
      </w:r>
      <w:r>
        <w:rPr>
          <w:rFonts w:hint="eastAsia" w:ascii="宋体" w:hAnsi="宋体"/>
          <w:color w:val="auto"/>
          <w:highlight w:val="none"/>
        </w:rPr>
        <w:t>物资的具体规格、交货地点、需求时间详见</w:t>
      </w:r>
      <w:r>
        <w:rPr>
          <w:rFonts w:hint="eastAsia" w:ascii="宋体" w:hAnsi="宋体"/>
          <w:color w:val="auto"/>
          <w:highlight w:val="none"/>
          <w:lang w:eastAsia="zh-CN"/>
        </w:rPr>
        <w:t>竞争性谈判文件</w:t>
      </w:r>
      <w:r>
        <w:rPr>
          <w:rFonts w:hint="eastAsia" w:ascii="宋体" w:hAnsi="宋体"/>
          <w:color w:val="auto"/>
          <w:highlight w:val="none"/>
        </w:rPr>
        <w:t>。</w:t>
      </w:r>
    </w:p>
    <w:p>
      <w:pPr>
        <w:rPr>
          <w:color w:val="auto"/>
          <w:highlight w:val="none"/>
        </w:rPr>
      </w:pPr>
    </w:p>
    <w:p>
      <w:pPr>
        <w:pStyle w:val="2"/>
        <w:rPr>
          <w:rStyle w:val="9"/>
          <w:rFonts w:hint="eastAsia" w:cstheme="minorBidi"/>
          <w:b/>
          <w:bCs/>
          <w:color w:val="auto"/>
          <w:kern w:val="2"/>
          <w:szCs w:val="22"/>
          <w:highlight w:val="none"/>
          <w:lang w:val="en-US" w:eastAsia="zh-CN" w:bidi="ar-SA"/>
        </w:rPr>
      </w:pPr>
      <w:bookmarkStart w:id="29" w:name="_Toc448788420"/>
      <w:bookmarkStart w:id="30" w:name="_Toc28014"/>
      <w:bookmarkStart w:id="31" w:name="_Toc8160"/>
      <w:bookmarkStart w:id="32" w:name="_Toc457296517"/>
      <w:bookmarkStart w:id="33" w:name="_Toc2148"/>
      <w:bookmarkStart w:id="34" w:name="_Toc19296"/>
      <w:bookmarkStart w:id="35" w:name="_Toc15751"/>
      <w:bookmarkStart w:id="36" w:name="_Toc14970"/>
      <w:r>
        <w:rPr>
          <w:rStyle w:val="9"/>
          <w:rFonts w:hint="eastAsia" w:cstheme="minorBidi"/>
          <w:b/>
          <w:bCs/>
          <w:color w:val="auto"/>
          <w:kern w:val="2"/>
          <w:szCs w:val="22"/>
          <w:highlight w:val="none"/>
          <w:lang w:val="en-US" w:eastAsia="zh-CN" w:bidi="ar-SA"/>
        </w:rPr>
        <w:t>附件</w:t>
      </w:r>
      <w:bookmarkEnd w:id="29"/>
      <w:bookmarkEnd w:id="30"/>
      <w:bookmarkEnd w:id="31"/>
      <w:bookmarkEnd w:id="32"/>
      <w:bookmarkEnd w:id="33"/>
      <w:bookmarkEnd w:id="34"/>
      <w:bookmarkEnd w:id="35"/>
      <w:r>
        <w:rPr>
          <w:rStyle w:val="9"/>
          <w:rFonts w:hint="eastAsia" w:cstheme="minorBidi"/>
          <w:b/>
          <w:bCs/>
          <w:color w:val="auto"/>
          <w:kern w:val="2"/>
          <w:szCs w:val="22"/>
          <w:highlight w:val="none"/>
          <w:lang w:val="en-US" w:eastAsia="zh-CN" w:bidi="ar-SA"/>
        </w:rPr>
        <w:t>2</w:t>
      </w:r>
      <w:bookmarkEnd w:id="36"/>
    </w:p>
    <w:p>
      <w:pPr>
        <w:jc w:val="center"/>
        <w:rPr>
          <w:b/>
          <w:color w:val="auto"/>
          <w:sz w:val="30"/>
          <w:szCs w:val="30"/>
          <w:highlight w:val="none"/>
        </w:rPr>
      </w:pPr>
      <w:bookmarkStart w:id="37" w:name="_Toc413693241"/>
      <w:bookmarkEnd w:id="37"/>
      <w:bookmarkStart w:id="38" w:name="_Toc448788421"/>
      <w:r>
        <w:rPr>
          <w:rFonts w:hint="eastAsia"/>
          <w:b/>
          <w:color w:val="auto"/>
          <w:sz w:val="30"/>
          <w:szCs w:val="30"/>
          <w:highlight w:val="none"/>
        </w:rPr>
        <w:t>竞争性谈判邀请书确认函</w:t>
      </w:r>
      <w:bookmarkEnd w:id="38"/>
    </w:p>
    <w:p>
      <w:pPr>
        <w:widowControl/>
        <w:shd w:val="clear" w:color="auto" w:fill="FFFFFF"/>
        <w:spacing w:line="360" w:lineRule="auto"/>
        <w:jc w:val="left"/>
        <w:rPr>
          <w:color w:val="auto"/>
          <w:sz w:val="24"/>
          <w:highlight w:val="none"/>
        </w:rPr>
      </w:pPr>
    </w:p>
    <w:p>
      <w:pPr>
        <w:widowControl/>
        <w:shd w:val="clear" w:color="auto" w:fill="FFFFFF"/>
        <w:spacing w:line="360" w:lineRule="auto"/>
        <w:jc w:val="left"/>
        <w:rPr>
          <w:color w:val="auto"/>
          <w:sz w:val="24"/>
          <w:highlight w:val="none"/>
        </w:rPr>
      </w:pP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致：中铁四局集团有限公司</w:t>
      </w:r>
      <w:r>
        <w:rPr>
          <w:rFonts w:hint="eastAsia" w:asciiTheme="minorEastAsia" w:hAnsiTheme="minorEastAsia" w:eastAsiaTheme="minorEastAsia" w:cstheme="minorEastAsia"/>
          <w:color w:val="auto"/>
          <w:sz w:val="21"/>
          <w:szCs w:val="21"/>
          <w:highlight w:val="none"/>
          <w:lang w:val="en-US" w:eastAsia="zh-CN"/>
        </w:rPr>
        <w:t>XX项目部</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keepNext w:val="0"/>
        <w:keepLines w:val="0"/>
        <w:pageBreakBefore w:val="0"/>
        <w:tabs>
          <w:tab w:val="left" w:pos="4065"/>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我方已收到贵单位的</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rPr>
        <w:t>竞争性谈判邀请书（文件编号</w:t>
      </w:r>
      <w:r>
        <w:rPr>
          <w:rFonts w:hint="eastAsia" w:ascii="宋体" w:hAnsi="宋体" w:eastAsia="宋体" w:cs="宋体"/>
          <w:sz w:val="21"/>
          <w:szCs w:val="21"/>
          <w:highlight w:val="none"/>
          <w:lang w:eastAsia="zh-CN"/>
        </w:rPr>
        <w:t>ZTSJSGS-TPCG2018005</w:t>
      </w:r>
      <w:r>
        <w:rPr>
          <w:rFonts w:hint="eastAsia" w:asciiTheme="minorEastAsia" w:hAnsiTheme="minorEastAsia" w:eastAsiaTheme="minorEastAsia" w:cstheme="minorEastAsia"/>
          <w:color w:val="auto"/>
          <w:sz w:val="21"/>
          <w:szCs w:val="21"/>
          <w:highlight w:val="none"/>
        </w:rPr>
        <w:t>），愿意参与此次竞争性谈判，请贵单位将</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发送至我方电子邮箱</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w:t>
      </w:r>
    </w:p>
    <w:p>
      <w:pPr>
        <w:widowControl/>
        <w:spacing w:line="360" w:lineRule="auto"/>
        <w:ind w:firstLine="480" w:firstLineChars="200"/>
        <w:rPr>
          <w:rFonts w:hint="eastAsia"/>
          <w:color w:val="auto"/>
          <w:sz w:val="24"/>
          <w:highlight w:val="none"/>
        </w:rPr>
      </w:pP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特此确认！</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联系人：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单位名称：（盖章）</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 </w:t>
      </w:r>
    </w:p>
    <w:p>
      <w:pPr>
        <w:widowControl/>
        <w:spacing w:line="360" w:lineRule="auto"/>
        <w:ind w:firstLine="480" w:firstLineChars="200"/>
        <w:rPr>
          <w:color w:val="auto"/>
          <w:sz w:val="24"/>
          <w:highlight w:val="none"/>
        </w:rPr>
      </w:pPr>
    </w:p>
    <w:p>
      <w:bookmarkStart w:id="39" w:name="_GoBack"/>
      <w:bookmarkEnd w:id="3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55416"/>
    <w:rsid w:val="4985541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0"/>
    <w:pPr>
      <w:keepNext/>
      <w:keepLines/>
      <w:snapToGrid w:val="0"/>
      <w:spacing w:line="360" w:lineRule="auto"/>
      <w:outlineLvl w:val="1"/>
    </w:pPr>
    <w:rPr>
      <w:rFonts w:ascii="宋体" w:hAnsi="宋体"/>
      <w:b/>
      <w:bCs/>
      <w:sz w:val="24"/>
    </w:rPr>
  </w:style>
  <w:style w:type="paragraph" w:styleId="3">
    <w:name w:val="heading 3"/>
    <w:basedOn w:val="1"/>
    <w:next w:val="1"/>
    <w:link w:val="8"/>
    <w:semiHidden/>
    <w:unhideWhenUsed/>
    <w:qFormat/>
    <w:uiPriority w:val="0"/>
    <w:pPr>
      <w:keepNext/>
      <w:keepLines/>
      <w:spacing w:line="360" w:lineRule="auto"/>
      <w:ind w:firstLine="720" w:firstLineChars="200"/>
      <w:jc w:val="left"/>
      <w:outlineLvl w:val="2"/>
    </w:pPr>
    <w:rPr>
      <w:rFonts w:ascii="宋体" w:hAnsi="宋体"/>
      <w:b/>
      <w:bCs/>
      <w:sz w:val="24"/>
    </w:rPr>
  </w:style>
  <w:style w:type="character" w:default="1" w:styleId="5">
    <w:name w:val="Default Paragraph Font"/>
    <w:link w:val="6"/>
    <w:semiHidden/>
    <w:uiPriority w:val="0"/>
    <w:rPr>
      <w:rFonts w:ascii="仿宋_GB2312" w:eastAsia="仿宋_GB2312"/>
      <w:b/>
      <w:sz w:val="32"/>
      <w:szCs w:val="32"/>
      <w:lang w:bidi="ar-SA"/>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customStyle="1" w:styleId="6">
    <w:name w:val=" Char Char Char Char Char Char Char Char Char Char"/>
    <w:basedOn w:val="1"/>
    <w:link w:val="5"/>
    <w:qFormat/>
    <w:uiPriority w:val="0"/>
    <w:rPr>
      <w:rFonts w:ascii="仿宋_GB2312" w:eastAsia="仿宋_GB2312"/>
      <w:b/>
      <w:sz w:val="32"/>
      <w:szCs w:val="32"/>
      <w:lang w:bidi="ar-SA"/>
    </w:rPr>
  </w:style>
  <w:style w:type="character" w:customStyle="1" w:styleId="8">
    <w:name w:val="标题 3 Char"/>
    <w:basedOn w:val="5"/>
    <w:link w:val="3"/>
    <w:qFormat/>
    <w:locked/>
    <w:uiPriority w:val="9"/>
    <w:rPr>
      <w:rFonts w:ascii="宋体" w:hAnsi="宋体"/>
      <w:bCs/>
      <w:sz w:val="24"/>
    </w:rPr>
  </w:style>
  <w:style w:type="character" w:customStyle="1" w:styleId="9">
    <w:name w:val="标题 2 Char"/>
    <w:link w:val="2"/>
    <w:qFormat/>
    <w:locked/>
    <w:uiPriority w:val="0"/>
    <w:rPr>
      <w:rFonts w:ascii="宋体" w:hAnsi="宋体"/>
      <w:b/>
      <w:bCs/>
      <w:sz w:val="24"/>
    </w:rPr>
  </w:style>
  <w:style w:type="character" w:customStyle="1" w:styleId="10">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2018-04-08T12:39:00Z</dcterms:created>
  <dc:creator>∥:路亽曱</dc:creator>
  <cp:lastModifiedBy>∥:路亽曱</cp:lastModifiedBy>
  <dcterms:modified xsi:type="dcterms:W3CDTF">2018-04-08T12:39:39Z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