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Ansi="宋体"/>
          <w:b/>
          <w:color w:val="000000"/>
          <w:sz w:val="33"/>
          <w:szCs w:val="33"/>
        </w:rPr>
      </w:pPr>
      <w:bookmarkStart w:id="0" w:name="_Toc401836665"/>
      <w:r>
        <w:rPr>
          <w:rFonts w:hint="eastAsia" w:hAnsi="宋体"/>
          <w:b/>
          <w:kern w:val="0"/>
          <w:sz w:val="30"/>
          <w:szCs w:val="30"/>
        </w:rPr>
        <w:t>中铁四局集团蒙华铁路MHTJ-3标项目物资集中采购招标公告</w:t>
      </w:r>
    </w:p>
    <w:p>
      <w:pPr>
        <w:spacing w:line="380" w:lineRule="exact"/>
        <w:jc w:val="center"/>
        <w:rPr>
          <w:rFonts w:hint="eastAsia" w:asciiTheme="minorEastAsia" w:hAnsiTheme="minorEastAsia" w:eastAsiaTheme="minorEastAsia" w:cstheme="minorEastAsia"/>
          <w:color w:val="000000"/>
          <w:sz w:val="21"/>
          <w:szCs w:val="20"/>
        </w:rPr>
      </w:pPr>
      <w:r>
        <w:rPr>
          <w:rFonts w:hint="eastAsia" w:asciiTheme="minorEastAsia" w:hAnsiTheme="minorEastAsia" w:eastAsiaTheme="minorEastAsia" w:cstheme="minorEastAsia"/>
          <w:color w:val="000000"/>
          <w:sz w:val="21"/>
          <w:szCs w:val="20"/>
        </w:rPr>
        <w:t>招标编号：CTCE4C-WZCG-2018004</w:t>
      </w:r>
    </w:p>
    <w:p>
      <w:pPr>
        <w:pStyle w:val="2"/>
        <w:snapToGrid/>
        <w:jc w:val="left"/>
        <w:rPr>
          <w:rFonts w:hint="eastAsia" w:asciiTheme="minorEastAsia" w:hAnsiTheme="minorEastAsia" w:eastAsiaTheme="minorEastAsia" w:cstheme="minorEastAsia"/>
          <w:sz w:val="21"/>
          <w:szCs w:val="22"/>
        </w:rPr>
      </w:pPr>
      <w:bookmarkStart w:id="1" w:name="_Toc729"/>
      <w:r>
        <w:rPr>
          <w:rFonts w:hint="eastAsia" w:asciiTheme="minorEastAsia" w:hAnsiTheme="minorEastAsia" w:eastAsiaTheme="minorEastAsia" w:cstheme="minorEastAsia"/>
          <w:sz w:val="21"/>
          <w:szCs w:val="22"/>
        </w:rPr>
        <w:t>1. 招标条件</w:t>
      </w:r>
      <w:bookmarkEnd w:id="1"/>
    </w:p>
    <w:p>
      <w:pPr>
        <w:tabs>
          <w:tab w:val="left" w:pos="1843"/>
        </w:tabs>
        <w:adjustRightInd w:val="0"/>
        <w:snapToGrid w:val="0"/>
        <w:spacing w:line="360" w:lineRule="auto"/>
        <w:ind w:firstLine="420" w:firstLineChars="200"/>
        <w:rPr>
          <w:rFonts w:hint="eastAsia" w:asciiTheme="minorEastAsia" w:hAnsiTheme="minorEastAsia" w:eastAsiaTheme="minorEastAsia" w:cstheme="minorEastAsia"/>
          <w:color w:val="000000"/>
          <w:sz w:val="21"/>
          <w:szCs w:val="20"/>
        </w:rPr>
      </w:pPr>
      <w:r>
        <w:rPr>
          <w:rFonts w:hint="eastAsia" w:asciiTheme="minorEastAsia" w:hAnsiTheme="minorEastAsia" w:eastAsiaTheme="minorEastAsia" w:cstheme="minorEastAsia"/>
          <w:color w:val="000000"/>
          <w:sz w:val="21"/>
          <w:szCs w:val="20"/>
        </w:rPr>
        <w:t>中铁四局集团有限公司承建的蒙华铁路MHTJ-3标项目</w:t>
      </w:r>
      <w:r>
        <w:rPr>
          <w:rFonts w:hint="eastAsia" w:asciiTheme="minorEastAsia" w:hAnsiTheme="minorEastAsia" w:eastAsiaTheme="minorEastAsia" w:cstheme="minorEastAsia"/>
          <w:color w:val="000000"/>
          <w:kern w:val="0"/>
          <w:sz w:val="21"/>
          <w:szCs w:val="20"/>
        </w:rPr>
        <w:t>建设资金已落实</w:t>
      </w:r>
      <w:r>
        <w:rPr>
          <w:rFonts w:hint="eastAsia" w:asciiTheme="minorEastAsia" w:hAnsiTheme="minorEastAsia" w:eastAsiaTheme="minorEastAsia" w:cstheme="minorEastAsia"/>
          <w:color w:val="000000"/>
          <w:sz w:val="21"/>
          <w:szCs w:val="20"/>
        </w:rPr>
        <w:t>，所</w:t>
      </w:r>
      <w:r>
        <w:rPr>
          <w:rFonts w:hint="eastAsia" w:asciiTheme="minorEastAsia" w:hAnsiTheme="minorEastAsia" w:eastAsiaTheme="minorEastAsia" w:cstheme="minorEastAsia"/>
          <w:color w:val="000000"/>
          <w:kern w:val="0"/>
          <w:sz w:val="21"/>
          <w:szCs w:val="20"/>
        </w:rPr>
        <w:t>需钢板网防护栅栏、预应力钢棒已具备招标条件，现由</w:t>
      </w:r>
      <w:r>
        <w:rPr>
          <w:rFonts w:hint="eastAsia" w:asciiTheme="minorEastAsia" w:hAnsiTheme="minorEastAsia" w:eastAsiaTheme="minorEastAsia" w:cstheme="minorEastAsia"/>
          <w:color w:val="000000"/>
          <w:sz w:val="21"/>
          <w:szCs w:val="20"/>
        </w:rPr>
        <w:t>中铁四局集团第四工程有限公司</w:t>
      </w:r>
      <w:r>
        <w:rPr>
          <w:rFonts w:hint="eastAsia" w:asciiTheme="minorEastAsia" w:hAnsiTheme="minorEastAsia" w:eastAsiaTheme="minorEastAsia" w:cstheme="minorEastAsia"/>
          <w:color w:val="000000"/>
          <w:kern w:val="0"/>
          <w:sz w:val="21"/>
          <w:szCs w:val="20"/>
        </w:rPr>
        <w:t>组织进行</w:t>
      </w:r>
      <w:r>
        <w:rPr>
          <w:rFonts w:hint="eastAsia" w:asciiTheme="minorEastAsia" w:hAnsiTheme="minorEastAsia" w:eastAsiaTheme="minorEastAsia" w:cstheme="minorEastAsia"/>
          <w:color w:val="000000"/>
          <w:sz w:val="21"/>
          <w:szCs w:val="20"/>
        </w:rPr>
        <w:t>公开招标。</w:t>
      </w:r>
    </w:p>
    <w:p>
      <w:pPr>
        <w:pStyle w:val="2"/>
        <w:snapToGrid/>
        <w:jc w:val="left"/>
        <w:rPr>
          <w:rFonts w:hint="eastAsia" w:asciiTheme="minorEastAsia" w:hAnsiTheme="minorEastAsia" w:eastAsiaTheme="minorEastAsia" w:cstheme="minorEastAsia"/>
          <w:sz w:val="21"/>
          <w:szCs w:val="22"/>
        </w:rPr>
      </w:pPr>
      <w:bookmarkStart w:id="2" w:name="_Toc4868"/>
      <w:bookmarkStart w:id="3" w:name="_Toc22962"/>
      <w:r>
        <w:rPr>
          <w:rFonts w:hint="eastAsia" w:asciiTheme="minorEastAsia" w:hAnsiTheme="minorEastAsia" w:eastAsiaTheme="minorEastAsia" w:cstheme="minorEastAsia"/>
          <w:sz w:val="21"/>
          <w:szCs w:val="22"/>
        </w:rPr>
        <w:t>2.招标依据</w:t>
      </w:r>
      <w:bookmarkEnd w:id="2"/>
      <w:bookmarkEnd w:id="3"/>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2.1《中华人民共和国招标投标法》；</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2.2《工程建设项目货物招标投标办法》（国家发展改革委等七部委令第27号）；</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2.3《评标委员会和评标方法暂行规定》（国家发展改革委等七部委令第12号）；</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2.4《关于印发中铁四局集团工程物资招标采购管理实施细则的通知》中铁四程［2017］136号。</w:t>
      </w:r>
    </w:p>
    <w:p>
      <w:pPr>
        <w:pStyle w:val="2"/>
        <w:snapToGrid/>
        <w:jc w:val="left"/>
        <w:rPr>
          <w:rFonts w:hint="eastAsia" w:asciiTheme="minorEastAsia" w:hAnsiTheme="minorEastAsia" w:eastAsiaTheme="minorEastAsia" w:cstheme="minorEastAsia"/>
          <w:sz w:val="21"/>
          <w:szCs w:val="22"/>
        </w:rPr>
      </w:pPr>
      <w:bookmarkStart w:id="4" w:name="_Toc9824"/>
      <w:r>
        <w:rPr>
          <w:rFonts w:hint="eastAsia" w:asciiTheme="minorEastAsia" w:hAnsiTheme="minorEastAsia" w:eastAsiaTheme="minorEastAsia" w:cstheme="minorEastAsia"/>
          <w:sz w:val="21"/>
          <w:szCs w:val="22"/>
        </w:rPr>
        <w:t>3.项目概况与招标内容</w:t>
      </w:r>
      <w:bookmarkEnd w:id="4"/>
    </w:p>
    <w:p>
      <w:pPr>
        <w:spacing w:line="360" w:lineRule="auto"/>
        <w:ind w:firstLine="420" w:firstLineChars="200"/>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3.1项目概况：</w:t>
      </w:r>
    </w:p>
    <w:p>
      <w:pPr>
        <w:adjustRightInd w:val="0"/>
        <w:snapToGrid w:val="0"/>
        <w:spacing w:line="360" w:lineRule="auto"/>
        <w:ind w:firstLine="420" w:firstLineChars="200"/>
        <w:rPr>
          <w:rFonts w:hint="eastAsia" w:asciiTheme="minorEastAsia" w:hAnsiTheme="minorEastAsia" w:eastAsiaTheme="minorEastAsia" w:cstheme="minorEastAsia"/>
          <w:sz w:val="21"/>
          <w:szCs w:val="20"/>
        </w:rPr>
      </w:pPr>
      <w:bookmarkStart w:id="5" w:name="_Toc12172"/>
      <w:bookmarkStart w:id="6" w:name="_Toc25928"/>
      <w:bookmarkStart w:id="7" w:name="_Toc12537"/>
      <w:bookmarkStart w:id="8" w:name="_Toc24644"/>
      <w:bookmarkStart w:id="9" w:name="_Toc5645"/>
      <w:bookmarkStart w:id="10" w:name="_Toc457296508"/>
      <w:r>
        <w:rPr>
          <w:rFonts w:hint="eastAsia" w:asciiTheme="minorEastAsia" w:hAnsiTheme="minorEastAsia" w:eastAsiaTheme="minorEastAsia" w:cstheme="minorEastAsia"/>
          <w:sz w:val="21"/>
          <w:szCs w:val="20"/>
        </w:rPr>
        <w:t>新建蒙西至华中地区铁路煤运通道土建工程MHTJ-3标段（以下简称“蒙华3标”），地处内蒙古乌审旗及陕西省榆林市靖边县境内，国铁I级，牵引种类为电力。项目计划工期为60个月，标段工期为55个月。</w:t>
      </w:r>
    </w:p>
    <w:p>
      <w:pPr>
        <w:spacing w:line="360" w:lineRule="auto"/>
        <w:ind w:firstLine="420" w:firstLineChars="200"/>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起讫里程为：DK181+500—DK236+018.05，途径乌审旗无定河镇，靖边县红墩界镇、海则滩乡、杨桥畔镇。标段起点为内蒙乌审旗无定河镇DK181+500，标段终点DK236+018.05跨惠桥水库大桥南端，正线长度54.866km。</w:t>
      </w:r>
    </w:p>
    <w:p>
      <w:pPr>
        <w:spacing w:line="360" w:lineRule="auto"/>
        <w:ind w:firstLine="420" w:firstLineChars="200"/>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主要施工内容为：拆迁及征地费用、路基、桥涵、隧道、轨道、其他运营生产设备及建筑物、大型临时设施和过渡工程。</w:t>
      </w:r>
      <w:bookmarkEnd w:id="5"/>
      <w:bookmarkEnd w:id="6"/>
      <w:bookmarkEnd w:id="7"/>
      <w:bookmarkEnd w:id="8"/>
      <w:bookmarkEnd w:id="9"/>
      <w:bookmarkEnd w:id="10"/>
    </w:p>
    <w:p>
      <w:pPr>
        <w:spacing w:line="360" w:lineRule="auto"/>
        <w:ind w:firstLine="420" w:firstLineChars="200"/>
        <w:rPr>
          <w:rFonts w:hint="eastAsia" w:asciiTheme="minorEastAsia" w:hAnsiTheme="minorEastAsia" w:eastAsiaTheme="minorEastAsia" w:cstheme="minorEastAsia"/>
          <w:color w:val="000000"/>
          <w:sz w:val="21"/>
          <w:szCs w:val="20"/>
        </w:rPr>
      </w:pPr>
      <w:r>
        <w:rPr>
          <w:rFonts w:hint="eastAsia" w:asciiTheme="minorEastAsia" w:hAnsiTheme="minorEastAsia" w:eastAsiaTheme="minorEastAsia" w:cstheme="minorEastAsia"/>
          <w:color w:val="000000"/>
          <w:sz w:val="21"/>
          <w:szCs w:val="20"/>
        </w:rPr>
        <w:t>3.2招标内容：物资品种、包件划分见附表1。</w:t>
      </w:r>
    </w:p>
    <w:p>
      <w:pPr>
        <w:pStyle w:val="2"/>
        <w:snapToGrid/>
        <w:jc w:val="left"/>
        <w:rPr>
          <w:rFonts w:hint="eastAsia" w:asciiTheme="minorEastAsia" w:hAnsiTheme="minorEastAsia" w:eastAsiaTheme="minorEastAsia" w:cstheme="minorEastAsia"/>
          <w:sz w:val="21"/>
          <w:szCs w:val="22"/>
        </w:rPr>
      </w:pPr>
      <w:bookmarkStart w:id="11" w:name="_Toc32416"/>
      <w:r>
        <w:rPr>
          <w:rFonts w:hint="eastAsia" w:asciiTheme="minorEastAsia" w:hAnsiTheme="minorEastAsia" w:eastAsiaTheme="minorEastAsia" w:cstheme="minorEastAsia"/>
          <w:sz w:val="21"/>
          <w:szCs w:val="22"/>
        </w:rPr>
        <w:t>4. 投标人资格要求</w:t>
      </w:r>
      <w:bookmarkEnd w:id="11"/>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4.1 本次招标投标人资格要求：</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4.1.1通用资格要求：</w:t>
      </w:r>
    </w:p>
    <w:p>
      <w:pPr>
        <w:widowControl/>
        <w:spacing w:line="360" w:lineRule="auto"/>
        <w:ind w:firstLine="420" w:firstLineChars="20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 ①营业范围要求：在中华人民共和国境内依法注册，具有独立法人资格、具有招标物资生产或供应经验的生产厂或供应商，并且具有合法、有效的三证合一的营业执照。</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②财务能力要求：资金财务状况良好，具备实施本项目合同充足的资金保障能力；投标人为生产厂的须具有2015-2016年或2016-2017年连续两年经会计师事务所或审计机构审计的财务报告及报表，投标人为代理商的须具有2015-2016年或2016-2017年连续两年的财务报告及报表。</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③质量保证能力要求：生产厂具有有效的ISO9000系列质量管理体系认证，产品符合国家现行标准；并且具有近三年（2015、2016、2017年）的省、部级及以上专业检测机构出具的针对投标物资质量检验报告2份。</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④供货业绩要求：投标人2015至2017年至少有3份铁路工程或国家重点工程建设项目供货业绩相关证明材料。</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4.1.2专用资格要求：见附表1.</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4.2 本次招标不接受联合体投标。</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4.3 投标人必须提供满足招标文件要求的投标物资，且制造地、生产线、生产工艺及原材料等始终与投标承诺一致。</w:t>
      </w:r>
    </w:p>
    <w:p>
      <w:pPr>
        <w:widowControl/>
        <w:spacing w:line="360" w:lineRule="auto"/>
        <w:ind w:firstLine="48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4.4 本次招标，同一个投标人只允许中标其中一个包件。</w:t>
      </w:r>
      <w:bookmarkStart w:id="26" w:name="_GoBack"/>
      <w:bookmarkEnd w:id="26"/>
    </w:p>
    <w:p>
      <w:pPr>
        <w:pStyle w:val="2"/>
        <w:snapToGrid/>
        <w:jc w:val="left"/>
        <w:rPr>
          <w:rFonts w:hint="eastAsia" w:asciiTheme="minorEastAsia" w:hAnsiTheme="minorEastAsia" w:eastAsiaTheme="minorEastAsia" w:cstheme="minorEastAsia"/>
          <w:sz w:val="21"/>
          <w:szCs w:val="22"/>
        </w:rPr>
      </w:pPr>
      <w:bookmarkStart w:id="12" w:name="_Toc25878"/>
      <w:r>
        <w:rPr>
          <w:rFonts w:hint="eastAsia" w:asciiTheme="minorEastAsia" w:hAnsiTheme="minorEastAsia" w:eastAsiaTheme="minorEastAsia" w:cstheme="minorEastAsia"/>
          <w:sz w:val="21"/>
          <w:szCs w:val="22"/>
        </w:rPr>
        <w:t>5.资格审查方式</w:t>
      </w:r>
      <w:bookmarkEnd w:id="12"/>
    </w:p>
    <w:p>
      <w:pPr>
        <w:widowControl/>
        <w:overflowPunct w:val="0"/>
        <w:adjustRightInd w:val="0"/>
        <w:snapToGrid w:val="0"/>
        <w:spacing w:line="360" w:lineRule="auto"/>
        <w:jc w:val="left"/>
        <w:textAlignment w:val="baseline"/>
        <w:rPr>
          <w:rFonts w:hint="eastAsia" w:asciiTheme="minorEastAsia" w:hAnsiTheme="minorEastAsia" w:eastAsiaTheme="minorEastAsia" w:cstheme="minorEastAsia"/>
          <w:kern w:val="0"/>
          <w:sz w:val="21"/>
          <w:szCs w:val="20"/>
        </w:rPr>
      </w:pPr>
      <w:r>
        <w:rPr>
          <w:rFonts w:hint="eastAsia" w:asciiTheme="minorEastAsia" w:hAnsiTheme="minorEastAsia" w:eastAsiaTheme="minorEastAsia" w:cstheme="minorEastAsia"/>
          <w:b/>
          <w:kern w:val="0"/>
          <w:sz w:val="21"/>
          <w:szCs w:val="20"/>
        </w:rPr>
        <w:t xml:space="preserve">   </w:t>
      </w:r>
      <w:r>
        <w:rPr>
          <w:rFonts w:hint="eastAsia" w:asciiTheme="minorEastAsia" w:hAnsiTheme="minorEastAsia" w:eastAsiaTheme="minorEastAsia" w:cstheme="minorEastAsia"/>
          <w:kern w:val="0"/>
          <w:sz w:val="21"/>
          <w:szCs w:val="20"/>
        </w:rPr>
        <w:t xml:space="preserve"> 本次投标人的资质审查采用资质后审的方式，评标办法采用经评审的最低投标价法。</w:t>
      </w:r>
    </w:p>
    <w:p>
      <w:pPr>
        <w:pStyle w:val="2"/>
        <w:snapToGrid/>
        <w:jc w:val="left"/>
        <w:rPr>
          <w:rFonts w:hint="eastAsia" w:asciiTheme="minorEastAsia" w:hAnsiTheme="minorEastAsia" w:eastAsiaTheme="minorEastAsia" w:cstheme="minorEastAsia"/>
          <w:sz w:val="21"/>
          <w:szCs w:val="22"/>
        </w:rPr>
      </w:pPr>
      <w:bookmarkStart w:id="13" w:name="_Toc12679"/>
      <w:bookmarkStart w:id="14" w:name="_Toc291262027"/>
      <w:bookmarkStart w:id="15" w:name="_Toc299874003"/>
      <w:r>
        <w:rPr>
          <w:rFonts w:hint="eastAsia" w:asciiTheme="minorEastAsia" w:hAnsiTheme="minorEastAsia" w:eastAsiaTheme="minorEastAsia" w:cstheme="minorEastAsia"/>
          <w:sz w:val="21"/>
          <w:szCs w:val="22"/>
        </w:rPr>
        <w:t>6.招标文件的获取</w:t>
      </w:r>
      <w:bookmarkEnd w:id="13"/>
    </w:p>
    <w:p>
      <w:pPr>
        <w:adjustRightInd w:val="0"/>
        <w:snapToGrid w:val="0"/>
        <w:spacing w:line="360" w:lineRule="auto"/>
        <w:ind w:firstLine="420" w:firstLineChars="200"/>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kern w:val="0"/>
          <w:sz w:val="21"/>
          <w:szCs w:val="20"/>
        </w:rPr>
        <w:t>6.1本次招标文件仅采用在中国中铁</w:t>
      </w:r>
      <w:r>
        <w:rPr>
          <w:rFonts w:hint="eastAsia" w:asciiTheme="minorEastAsia" w:hAnsiTheme="minorEastAsia" w:eastAsiaTheme="minorEastAsia" w:cstheme="minorEastAsia"/>
          <w:color w:val="000000"/>
          <w:kern w:val="0"/>
          <w:sz w:val="21"/>
          <w:szCs w:val="20"/>
        </w:rPr>
        <w:t>采购电子商务平台上以电子版方式发售.</w:t>
      </w:r>
    </w:p>
    <w:p>
      <w:pPr>
        <w:adjustRightInd w:val="0"/>
        <w:snapToGrid w:val="0"/>
        <w:spacing w:line="360" w:lineRule="auto"/>
        <w:ind w:firstLine="420" w:firstLineChars="200"/>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6.2凡有意参加投标的潜在投标人请于公告之日起至</w:t>
      </w:r>
      <w:r>
        <w:rPr>
          <w:rFonts w:hint="eastAsia" w:asciiTheme="minorEastAsia" w:hAnsiTheme="minorEastAsia" w:eastAsiaTheme="minorEastAsia" w:cstheme="minorEastAsia"/>
          <w:color w:val="000000"/>
          <w:sz w:val="21"/>
          <w:szCs w:val="20"/>
          <w:u w:val="single"/>
        </w:rPr>
        <w:t>2018</w:t>
      </w:r>
      <w:r>
        <w:rPr>
          <w:rFonts w:hint="eastAsia" w:asciiTheme="minorEastAsia" w:hAnsiTheme="minorEastAsia" w:eastAsiaTheme="minorEastAsia" w:cstheme="minorEastAsia"/>
          <w:color w:val="000000"/>
          <w:sz w:val="21"/>
          <w:szCs w:val="20"/>
        </w:rPr>
        <w:t>年</w:t>
      </w:r>
      <w:r>
        <w:rPr>
          <w:rFonts w:hint="eastAsia" w:asciiTheme="minorEastAsia" w:hAnsiTheme="minorEastAsia" w:eastAsiaTheme="minorEastAsia" w:cstheme="minorEastAsia"/>
          <w:color w:val="000000"/>
          <w:sz w:val="21"/>
          <w:szCs w:val="20"/>
          <w:u w:val="single"/>
        </w:rPr>
        <w:t>4</w:t>
      </w:r>
      <w:r>
        <w:rPr>
          <w:rFonts w:hint="eastAsia" w:asciiTheme="minorEastAsia" w:hAnsiTheme="minorEastAsia" w:eastAsiaTheme="minorEastAsia" w:cstheme="minorEastAsia"/>
          <w:color w:val="000000"/>
          <w:sz w:val="21"/>
          <w:szCs w:val="20"/>
        </w:rPr>
        <w:t>月</w:t>
      </w:r>
      <w:r>
        <w:rPr>
          <w:rFonts w:hint="eastAsia" w:asciiTheme="minorEastAsia" w:hAnsiTheme="minorEastAsia" w:eastAsiaTheme="minorEastAsia" w:cstheme="minorEastAsia"/>
          <w:color w:val="000000"/>
          <w:sz w:val="21"/>
          <w:szCs w:val="20"/>
          <w:u w:val="single"/>
        </w:rPr>
        <w:t xml:space="preserve">24 </w:t>
      </w:r>
      <w:r>
        <w:rPr>
          <w:rFonts w:hint="eastAsia" w:asciiTheme="minorEastAsia" w:hAnsiTheme="minorEastAsia" w:eastAsiaTheme="minorEastAsia" w:cstheme="minorEastAsia"/>
          <w:color w:val="000000"/>
          <w:sz w:val="21"/>
          <w:szCs w:val="20"/>
        </w:rPr>
        <w:t>日</w:t>
      </w:r>
      <w:r>
        <w:rPr>
          <w:rFonts w:hint="eastAsia" w:asciiTheme="minorEastAsia" w:hAnsiTheme="minorEastAsia" w:eastAsiaTheme="minorEastAsia" w:cstheme="minorEastAsia"/>
          <w:color w:val="000000"/>
          <w:kern w:val="0"/>
          <w:sz w:val="21"/>
          <w:szCs w:val="20"/>
          <w:u w:val="single"/>
        </w:rPr>
        <w:t>18</w:t>
      </w:r>
      <w:r>
        <w:rPr>
          <w:rFonts w:hint="eastAsia" w:asciiTheme="minorEastAsia" w:hAnsiTheme="minorEastAsia" w:eastAsiaTheme="minorEastAsia" w:cstheme="minorEastAsia"/>
          <w:color w:val="000000"/>
          <w:kern w:val="0"/>
          <w:sz w:val="21"/>
          <w:szCs w:val="20"/>
        </w:rPr>
        <w:t>时</w:t>
      </w:r>
      <w:r>
        <w:rPr>
          <w:rFonts w:hint="eastAsia" w:asciiTheme="minorEastAsia" w:hAnsiTheme="minorEastAsia" w:eastAsiaTheme="minorEastAsia" w:cstheme="minorEastAsia"/>
          <w:color w:val="000000"/>
          <w:kern w:val="0"/>
          <w:sz w:val="21"/>
          <w:szCs w:val="20"/>
          <w:u w:val="single"/>
        </w:rPr>
        <w:t>00</w:t>
      </w:r>
      <w:r>
        <w:rPr>
          <w:rFonts w:hint="eastAsia" w:asciiTheme="minorEastAsia" w:hAnsiTheme="minorEastAsia" w:eastAsiaTheme="minorEastAsia" w:cstheme="minorEastAsia"/>
          <w:color w:val="000000"/>
          <w:kern w:val="0"/>
          <w:sz w:val="21"/>
          <w:szCs w:val="20"/>
        </w:rPr>
        <w:t>分前（北京时间，下同），在中国中铁电子商务采购平台上进行</w:t>
      </w:r>
      <w:r>
        <w:rPr>
          <w:rFonts w:hint="eastAsia" w:asciiTheme="minorEastAsia" w:hAnsiTheme="minorEastAsia" w:eastAsiaTheme="minorEastAsia" w:cstheme="minorEastAsia"/>
          <w:b/>
          <w:color w:val="000000"/>
          <w:kern w:val="0"/>
          <w:sz w:val="21"/>
          <w:szCs w:val="20"/>
        </w:rPr>
        <w:t>响应并按要求发送报名资料</w:t>
      </w:r>
      <w:r>
        <w:rPr>
          <w:rFonts w:hint="eastAsia" w:asciiTheme="minorEastAsia" w:hAnsiTheme="minorEastAsia" w:eastAsiaTheme="minorEastAsia" w:cstheme="minorEastAsia"/>
          <w:color w:val="000000"/>
          <w:kern w:val="0"/>
          <w:sz w:val="21"/>
          <w:szCs w:val="20"/>
        </w:rPr>
        <w:t>以购买招标文件，操作流程如下：</w:t>
      </w:r>
    </w:p>
    <w:p>
      <w:pPr>
        <w:spacing w:line="360" w:lineRule="auto"/>
        <w:ind w:firstLine="420" w:firstLineChars="200"/>
        <w:rPr>
          <w:rFonts w:hint="eastAsia" w:asciiTheme="minorEastAsia" w:hAnsiTheme="minorEastAsia" w:eastAsiaTheme="minorEastAsia" w:cstheme="minorEastAsia"/>
          <w:color w:val="000000"/>
          <w:sz w:val="21"/>
          <w:szCs w:val="20"/>
        </w:rPr>
      </w:pPr>
      <w:r>
        <w:rPr>
          <w:rFonts w:hint="eastAsia" w:asciiTheme="minorEastAsia" w:hAnsiTheme="minorEastAsia" w:eastAsiaTheme="minorEastAsia" w:cstheme="minorEastAsia"/>
          <w:color w:val="000000"/>
          <w:kern w:val="0"/>
          <w:sz w:val="21"/>
          <w:szCs w:val="20"/>
        </w:rPr>
        <w:t>6.2.1</w:t>
      </w:r>
      <w:r>
        <w:rPr>
          <w:rFonts w:hint="eastAsia" w:asciiTheme="minorEastAsia" w:hAnsiTheme="minorEastAsia" w:eastAsiaTheme="minorEastAsia" w:cstheme="minorEastAsia"/>
          <w:color w:val="000000"/>
          <w:sz w:val="21"/>
          <w:szCs w:val="20"/>
        </w:rPr>
        <w:t>首先在</w:t>
      </w:r>
      <w:r>
        <w:rPr>
          <w:rFonts w:hint="eastAsia" w:asciiTheme="minorEastAsia" w:hAnsiTheme="minorEastAsia" w:eastAsiaTheme="minorEastAsia" w:cstheme="minorEastAsia"/>
          <w:color w:val="000000"/>
          <w:kern w:val="0"/>
          <w:sz w:val="21"/>
          <w:szCs w:val="20"/>
        </w:rPr>
        <w:t>中国中铁采购电子商务平台(</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"http://www.crecgec.com" </w:instrText>
      </w:r>
      <w:r>
        <w:rPr>
          <w:rFonts w:hint="eastAsia" w:asciiTheme="minorEastAsia" w:hAnsiTheme="minorEastAsia" w:eastAsiaTheme="minorEastAsia" w:cstheme="minorEastAsia"/>
          <w:sz w:val="21"/>
        </w:rPr>
        <w:fldChar w:fldCharType="separate"/>
      </w:r>
      <w:r>
        <w:rPr>
          <w:rStyle w:val="6"/>
          <w:rFonts w:hint="eastAsia" w:asciiTheme="minorEastAsia" w:hAnsiTheme="minorEastAsia" w:eastAsiaTheme="minorEastAsia" w:cstheme="minorEastAsia"/>
          <w:color w:val="000000"/>
          <w:sz w:val="21"/>
          <w:szCs w:val="20"/>
        </w:rPr>
        <w:t>www.crecgec.com</w:t>
      </w:r>
      <w:r>
        <w:rPr>
          <w:rStyle w:val="6"/>
          <w:rFonts w:hint="eastAsia" w:asciiTheme="minorEastAsia" w:hAnsiTheme="minorEastAsia" w:eastAsiaTheme="minorEastAsia" w:cstheme="minorEastAsia"/>
          <w:color w:val="000000"/>
          <w:sz w:val="21"/>
          <w:szCs w:val="20"/>
        </w:rPr>
        <w:fldChar w:fldCharType="end"/>
      </w:r>
      <w:r>
        <w:rPr>
          <w:rFonts w:hint="eastAsia" w:asciiTheme="minorEastAsia" w:hAnsiTheme="minorEastAsia" w:eastAsiaTheme="minorEastAsia" w:cstheme="minorEastAsia"/>
          <w:color w:val="000000"/>
          <w:sz w:val="21"/>
          <w:szCs w:val="20"/>
        </w:rPr>
        <w:t>)注册成为平台用户（须签订合同），因合同双方签订有一定时间，建议提前操作。</w:t>
      </w:r>
      <w:r>
        <w:rPr>
          <w:rFonts w:hint="eastAsia" w:asciiTheme="minorEastAsia" w:hAnsiTheme="minorEastAsia" w:eastAsiaTheme="minorEastAsia" w:cstheme="minorEastAsia"/>
          <w:color w:val="000000"/>
          <w:kern w:val="0"/>
          <w:sz w:val="21"/>
          <w:szCs w:val="20"/>
        </w:rPr>
        <w:t>（</w:t>
      </w:r>
      <w:r>
        <w:rPr>
          <w:rFonts w:hint="eastAsia" w:asciiTheme="minorEastAsia" w:hAnsiTheme="minorEastAsia" w:eastAsiaTheme="minorEastAsia" w:cstheme="minorEastAsia"/>
          <w:b/>
          <w:color w:val="000000"/>
          <w:kern w:val="0"/>
          <w:sz w:val="21"/>
          <w:szCs w:val="20"/>
        </w:rPr>
        <w:t>客服热线4006010100</w:t>
      </w:r>
      <w:r>
        <w:rPr>
          <w:rFonts w:hint="eastAsia" w:asciiTheme="minorEastAsia" w:hAnsiTheme="minorEastAsia" w:eastAsiaTheme="minorEastAsia" w:cstheme="minorEastAsia"/>
          <w:color w:val="000000"/>
          <w:kern w:val="0"/>
          <w:sz w:val="21"/>
          <w:szCs w:val="20"/>
        </w:rPr>
        <w:t>）</w:t>
      </w:r>
    </w:p>
    <w:p>
      <w:pPr>
        <w:spacing w:line="360" w:lineRule="auto"/>
        <w:ind w:firstLine="420" w:firstLineChars="200"/>
        <w:jc w:val="left"/>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6.2.2已注册成功的潜在投标人：请在招标文件获取的规定时间内，从中国中铁采购电子商务平台登陆进入“供应商平台”对本次招标拟投包件进行</w:t>
      </w:r>
      <w:r>
        <w:rPr>
          <w:rFonts w:hint="eastAsia" w:asciiTheme="minorEastAsia" w:hAnsiTheme="minorEastAsia" w:eastAsiaTheme="minorEastAsia" w:cstheme="minorEastAsia"/>
          <w:b/>
          <w:color w:val="000000"/>
          <w:kern w:val="0"/>
          <w:sz w:val="21"/>
          <w:szCs w:val="20"/>
        </w:rPr>
        <w:t>响应</w:t>
      </w:r>
      <w:r>
        <w:rPr>
          <w:rFonts w:hint="eastAsia" w:asciiTheme="minorEastAsia" w:hAnsiTheme="minorEastAsia" w:eastAsiaTheme="minorEastAsia" w:cstheme="minorEastAsia"/>
          <w:color w:val="000000"/>
          <w:kern w:val="0"/>
          <w:sz w:val="21"/>
          <w:szCs w:val="20"/>
        </w:rPr>
        <w:t>（</w:t>
      </w:r>
      <w:r>
        <w:rPr>
          <w:rFonts w:hint="eastAsia" w:asciiTheme="minorEastAsia" w:hAnsiTheme="minorEastAsia" w:eastAsiaTheme="minorEastAsia" w:cstheme="minorEastAsia"/>
          <w:color w:val="000000"/>
          <w:sz w:val="21"/>
          <w:szCs w:val="20"/>
        </w:rPr>
        <w:t>供应商在线投标简易操作指南获取： http://www.crecgec.com/article-111-1.html</w:t>
      </w:r>
      <w:r>
        <w:rPr>
          <w:rFonts w:hint="eastAsia" w:asciiTheme="minorEastAsia" w:hAnsiTheme="minorEastAsia" w:eastAsiaTheme="minorEastAsia" w:cstheme="minorEastAsia"/>
          <w:color w:val="000000"/>
          <w:kern w:val="0"/>
          <w:sz w:val="21"/>
          <w:szCs w:val="20"/>
        </w:rPr>
        <w:t>）。</w:t>
      </w:r>
    </w:p>
    <w:p>
      <w:pPr>
        <w:spacing w:line="360" w:lineRule="auto"/>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 xml:space="preserve">    6.2.3潜在投标人在响应后，</w:t>
      </w:r>
      <w:r>
        <w:rPr>
          <w:rFonts w:hint="eastAsia" w:asciiTheme="minorEastAsia" w:hAnsiTheme="minorEastAsia" w:eastAsiaTheme="minorEastAsia" w:cstheme="minorEastAsia"/>
          <w:b/>
          <w:bCs/>
          <w:sz w:val="21"/>
          <w:szCs w:val="20"/>
        </w:rPr>
        <w:t>请于2018年4月 18日至2018年4月24日将</w:t>
      </w:r>
      <w:r>
        <w:rPr>
          <w:rFonts w:hint="eastAsia" w:asciiTheme="minorEastAsia" w:hAnsiTheme="minorEastAsia" w:eastAsiaTheme="minorEastAsia" w:cstheme="minorEastAsia"/>
          <w:b/>
          <w:color w:val="000000"/>
          <w:kern w:val="0"/>
          <w:sz w:val="21"/>
          <w:szCs w:val="20"/>
          <w:u w:val="single"/>
        </w:rPr>
        <w:t>投标申请表（附表2）、营业执照副本（加盖公章）、投标联系人身份证扫描件（加盖公章）、</w:t>
      </w:r>
      <w:r>
        <w:rPr>
          <w:rFonts w:hint="eastAsia" w:asciiTheme="minorEastAsia" w:hAnsiTheme="minorEastAsia" w:eastAsiaTheme="minorEastAsia" w:cstheme="minorEastAsia"/>
          <w:b/>
          <w:kern w:val="0"/>
          <w:sz w:val="21"/>
          <w:szCs w:val="20"/>
        </w:rPr>
        <w:t>标书款银行回单扫描件以电子文档形式</w:t>
      </w:r>
      <w:r>
        <w:rPr>
          <w:rFonts w:hint="eastAsia" w:asciiTheme="minorEastAsia" w:hAnsiTheme="minorEastAsia" w:eastAsiaTheme="minorEastAsia" w:cstheme="minorEastAsia"/>
          <w:b/>
          <w:bCs/>
          <w:kern w:val="0"/>
          <w:sz w:val="21"/>
          <w:szCs w:val="20"/>
        </w:rPr>
        <w:t>发送至</w:t>
      </w:r>
      <w:r>
        <w:rPr>
          <w:rFonts w:hint="eastAsia" w:asciiTheme="minorEastAsia" w:hAnsiTheme="minorEastAsia" w:eastAsiaTheme="minorEastAsia" w:cstheme="minorEastAsia"/>
          <w:kern w:val="0"/>
          <w:sz w:val="21"/>
          <w:szCs w:val="20"/>
          <w:u w:val="single"/>
        </w:rPr>
        <w:t>67595517</w:t>
      </w:r>
      <w:r>
        <w:rPr>
          <w:rFonts w:hint="eastAsia" w:asciiTheme="minorEastAsia" w:hAnsiTheme="minorEastAsia" w:eastAsiaTheme="minorEastAsia" w:cstheme="minorEastAsia"/>
          <w:b/>
          <w:color w:val="000000"/>
          <w:kern w:val="0"/>
          <w:sz w:val="21"/>
          <w:szCs w:val="20"/>
          <w:u w:val="single"/>
        </w:rPr>
        <w:t>@qq.com</w:t>
      </w:r>
      <w:r>
        <w:rPr>
          <w:rFonts w:hint="eastAsia" w:asciiTheme="minorEastAsia" w:hAnsiTheme="minorEastAsia" w:eastAsiaTheme="minorEastAsia" w:cstheme="minorEastAsia"/>
          <w:color w:val="000000"/>
          <w:kern w:val="0"/>
          <w:sz w:val="21"/>
          <w:szCs w:val="20"/>
        </w:rPr>
        <w:t>。并根据所需购买包件的招标文件售价以足额现金方式转入到招标</w:t>
      </w:r>
      <w:r>
        <w:rPr>
          <w:rFonts w:hint="eastAsia" w:asciiTheme="minorEastAsia" w:hAnsiTheme="minorEastAsia" w:eastAsiaTheme="minorEastAsia" w:cstheme="minorEastAsia"/>
          <w:color w:val="000000"/>
          <w:sz w:val="21"/>
          <w:szCs w:val="20"/>
        </w:rPr>
        <w:t>组织</w:t>
      </w:r>
      <w:r>
        <w:rPr>
          <w:rFonts w:hint="eastAsia" w:asciiTheme="minorEastAsia" w:hAnsiTheme="minorEastAsia" w:eastAsiaTheme="minorEastAsia" w:cstheme="minorEastAsia"/>
          <w:color w:val="000000"/>
          <w:kern w:val="0"/>
          <w:sz w:val="21"/>
          <w:szCs w:val="20"/>
        </w:rPr>
        <w:t>单位指定账户，</w:t>
      </w:r>
      <w:r>
        <w:rPr>
          <w:rFonts w:hint="eastAsia" w:asciiTheme="minorEastAsia" w:hAnsiTheme="minorEastAsia" w:eastAsiaTheme="minorEastAsia" w:cstheme="minorEastAsia"/>
          <w:b/>
          <w:bCs/>
          <w:sz w:val="21"/>
          <w:szCs w:val="20"/>
        </w:rPr>
        <w:t>（银行信息：开户名称：中铁四局集团第四工程有限公司，开户银行：中国农业银行股份有限公司合肥新站高新区支行，账号：12081101040002519），在汇款单上注明标书款、项目名称及所投包件号（如标书款1190、蒙华铁路、</w:t>
      </w:r>
      <w:r>
        <w:rPr>
          <w:rFonts w:hint="eastAsia" w:asciiTheme="minorEastAsia" w:hAnsiTheme="minorEastAsia" w:eastAsiaTheme="minorEastAsia" w:cstheme="minorEastAsia"/>
          <w:b/>
          <w:color w:val="000000"/>
          <w:sz w:val="21"/>
          <w:szCs w:val="20"/>
        </w:rPr>
        <w:t>FHZL-01</w:t>
      </w:r>
      <w:r>
        <w:rPr>
          <w:rFonts w:hint="eastAsia" w:asciiTheme="minorEastAsia" w:hAnsiTheme="minorEastAsia" w:eastAsiaTheme="minorEastAsia" w:cstheme="minorEastAsia"/>
          <w:b/>
          <w:bCs/>
          <w:sz w:val="21"/>
          <w:szCs w:val="20"/>
        </w:rPr>
        <w:t>），汇款单位名称与投标人名称须完全一致。</w:t>
      </w:r>
    </w:p>
    <w:p>
      <w:pPr>
        <w:spacing w:line="360" w:lineRule="auto"/>
        <w:ind w:firstLine="420" w:firstLineChars="200"/>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6.3招标组织单位收到上述信息核实后，潜在投标人在</w:t>
      </w:r>
      <w:r>
        <w:rPr>
          <w:rFonts w:hint="eastAsia" w:asciiTheme="minorEastAsia" w:hAnsiTheme="minorEastAsia" w:eastAsiaTheme="minorEastAsia" w:cstheme="minorEastAsia"/>
          <w:color w:val="000000"/>
          <w:sz w:val="21"/>
          <w:szCs w:val="20"/>
          <w:u w:val="single"/>
        </w:rPr>
        <w:t>2018</w:t>
      </w:r>
      <w:r>
        <w:rPr>
          <w:rFonts w:hint="eastAsia" w:asciiTheme="minorEastAsia" w:hAnsiTheme="minorEastAsia" w:eastAsiaTheme="minorEastAsia" w:cstheme="minorEastAsia"/>
          <w:color w:val="000000"/>
          <w:sz w:val="21"/>
          <w:szCs w:val="20"/>
        </w:rPr>
        <w:t>年</w:t>
      </w:r>
      <w:r>
        <w:rPr>
          <w:rFonts w:hint="eastAsia" w:asciiTheme="minorEastAsia" w:hAnsiTheme="minorEastAsia" w:eastAsiaTheme="minorEastAsia" w:cstheme="minorEastAsia"/>
          <w:color w:val="000000"/>
          <w:sz w:val="21"/>
          <w:szCs w:val="20"/>
          <w:u w:val="single"/>
        </w:rPr>
        <w:t>4</w:t>
      </w:r>
      <w:r>
        <w:rPr>
          <w:rFonts w:hint="eastAsia" w:asciiTheme="minorEastAsia" w:hAnsiTheme="minorEastAsia" w:eastAsiaTheme="minorEastAsia" w:cstheme="minorEastAsia"/>
          <w:color w:val="000000"/>
          <w:sz w:val="21"/>
          <w:szCs w:val="20"/>
        </w:rPr>
        <w:t>月</w:t>
      </w:r>
      <w:r>
        <w:rPr>
          <w:rFonts w:hint="eastAsia" w:asciiTheme="minorEastAsia" w:hAnsiTheme="minorEastAsia" w:eastAsiaTheme="minorEastAsia" w:cstheme="minorEastAsia"/>
          <w:color w:val="000000"/>
          <w:sz w:val="21"/>
          <w:szCs w:val="20"/>
          <w:u w:val="single"/>
        </w:rPr>
        <w:t>24</w:t>
      </w:r>
      <w:r>
        <w:rPr>
          <w:rFonts w:hint="eastAsia" w:asciiTheme="minorEastAsia" w:hAnsiTheme="minorEastAsia" w:eastAsiaTheme="minorEastAsia" w:cstheme="minorEastAsia"/>
          <w:color w:val="000000"/>
          <w:sz w:val="21"/>
          <w:szCs w:val="20"/>
        </w:rPr>
        <w:t>日</w:t>
      </w:r>
      <w:r>
        <w:rPr>
          <w:rFonts w:hint="eastAsia" w:asciiTheme="minorEastAsia" w:hAnsiTheme="minorEastAsia" w:eastAsiaTheme="minorEastAsia" w:cstheme="minorEastAsia"/>
          <w:color w:val="000000"/>
          <w:kern w:val="0"/>
          <w:sz w:val="21"/>
          <w:szCs w:val="20"/>
          <w:u w:val="single"/>
        </w:rPr>
        <w:t>18</w:t>
      </w:r>
      <w:r>
        <w:rPr>
          <w:rFonts w:hint="eastAsia" w:asciiTheme="minorEastAsia" w:hAnsiTheme="minorEastAsia" w:eastAsiaTheme="minorEastAsia" w:cstheme="minorEastAsia"/>
          <w:color w:val="000000"/>
          <w:kern w:val="0"/>
          <w:sz w:val="21"/>
          <w:szCs w:val="20"/>
        </w:rPr>
        <w:t>时</w:t>
      </w:r>
      <w:r>
        <w:rPr>
          <w:rFonts w:hint="eastAsia" w:asciiTheme="minorEastAsia" w:hAnsiTheme="minorEastAsia" w:eastAsiaTheme="minorEastAsia" w:cstheme="minorEastAsia"/>
          <w:color w:val="000000"/>
          <w:kern w:val="0"/>
          <w:sz w:val="21"/>
          <w:szCs w:val="20"/>
          <w:u w:val="single"/>
        </w:rPr>
        <w:t>00</w:t>
      </w:r>
      <w:r>
        <w:rPr>
          <w:rFonts w:hint="eastAsia" w:asciiTheme="minorEastAsia" w:hAnsiTheme="minorEastAsia" w:eastAsiaTheme="minorEastAsia" w:cstheme="minorEastAsia"/>
          <w:color w:val="000000"/>
          <w:kern w:val="0"/>
          <w:sz w:val="21"/>
          <w:szCs w:val="20"/>
        </w:rPr>
        <w:t>分前登陆中国中铁采购电子商务平台</w:t>
      </w:r>
      <w:r>
        <w:rPr>
          <w:rFonts w:hint="eastAsia" w:asciiTheme="minorEastAsia" w:hAnsiTheme="minorEastAsia" w:eastAsiaTheme="minorEastAsia" w:cstheme="minorEastAsia"/>
          <w:color w:val="000000"/>
          <w:kern w:val="0"/>
          <w:sz w:val="21"/>
          <w:szCs w:val="20"/>
          <w:u w:val="single"/>
        </w:rPr>
        <w:t>（</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"http://www.crec/" </w:instrText>
      </w:r>
      <w:r>
        <w:rPr>
          <w:rFonts w:hint="eastAsia" w:asciiTheme="minorEastAsia" w:hAnsiTheme="minorEastAsia" w:eastAsiaTheme="minorEastAsia" w:cstheme="minorEastAsia"/>
          <w:sz w:val="21"/>
        </w:rPr>
        <w:fldChar w:fldCharType="separate"/>
      </w:r>
      <w:r>
        <w:rPr>
          <w:rStyle w:val="6"/>
          <w:rFonts w:hint="eastAsia" w:asciiTheme="minorEastAsia" w:hAnsiTheme="minorEastAsia" w:eastAsiaTheme="minorEastAsia" w:cstheme="minorEastAsia"/>
          <w:color w:val="000000"/>
          <w:kern w:val="0"/>
          <w:sz w:val="21"/>
          <w:szCs w:val="20"/>
        </w:rPr>
        <w:t>www.crec</w:t>
      </w:r>
      <w:r>
        <w:rPr>
          <w:rStyle w:val="6"/>
          <w:rFonts w:hint="eastAsia" w:asciiTheme="minorEastAsia" w:hAnsiTheme="minorEastAsia" w:eastAsiaTheme="minorEastAsia" w:cstheme="minorEastAsia"/>
          <w:color w:val="000000"/>
          <w:kern w:val="0"/>
          <w:sz w:val="21"/>
          <w:szCs w:val="20"/>
        </w:rPr>
        <w:fldChar w:fldCharType="end"/>
      </w:r>
      <w:r>
        <w:rPr>
          <w:rFonts w:hint="eastAsia" w:asciiTheme="minorEastAsia" w:hAnsiTheme="minorEastAsia" w:eastAsiaTheme="minorEastAsia" w:cstheme="minorEastAsia"/>
          <w:color w:val="000000"/>
          <w:kern w:val="0"/>
          <w:sz w:val="21"/>
          <w:szCs w:val="20"/>
          <w:u w:val="single"/>
        </w:rPr>
        <w:t>gec.com）</w:t>
      </w:r>
      <w:r>
        <w:rPr>
          <w:rFonts w:hint="eastAsia" w:asciiTheme="minorEastAsia" w:hAnsiTheme="minorEastAsia" w:eastAsiaTheme="minorEastAsia" w:cstheme="minorEastAsia"/>
          <w:color w:val="000000"/>
          <w:kern w:val="0"/>
          <w:sz w:val="21"/>
          <w:szCs w:val="20"/>
        </w:rPr>
        <w:t>获取</w:t>
      </w:r>
      <w:r>
        <w:rPr>
          <w:rFonts w:hint="eastAsia" w:asciiTheme="minorEastAsia" w:hAnsiTheme="minorEastAsia" w:eastAsiaTheme="minorEastAsia" w:cstheme="minorEastAsia"/>
          <w:b/>
          <w:color w:val="000000"/>
          <w:kern w:val="0"/>
          <w:sz w:val="21"/>
          <w:szCs w:val="20"/>
        </w:rPr>
        <w:t>电子版招标文件</w:t>
      </w:r>
      <w:r>
        <w:rPr>
          <w:rFonts w:hint="eastAsia" w:asciiTheme="minorEastAsia" w:hAnsiTheme="minorEastAsia" w:eastAsiaTheme="minorEastAsia" w:cstheme="minorEastAsia"/>
          <w:color w:val="000000"/>
          <w:kern w:val="0"/>
          <w:sz w:val="21"/>
          <w:szCs w:val="20"/>
        </w:rPr>
        <w:t>。</w:t>
      </w:r>
    </w:p>
    <w:p>
      <w:pPr>
        <w:adjustRightInd w:val="0"/>
        <w:snapToGrid w:val="0"/>
        <w:spacing w:line="360" w:lineRule="auto"/>
        <w:ind w:firstLine="420" w:firstLineChars="200"/>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6.4 招标文件每套售价详见附表1，招标文件售后不退。</w:t>
      </w:r>
    </w:p>
    <w:p>
      <w:pPr>
        <w:tabs>
          <w:tab w:val="right" w:pos="9070"/>
        </w:tabs>
        <w:overflowPunct w:val="0"/>
        <w:adjustRightInd w:val="0"/>
        <w:snapToGrid w:val="0"/>
        <w:spacing w:line="360" w:lineRule="auto"/>
        <w:textAlignment w:val="baseline"/>
        <w:rPr>
          <w:rFonts w:hint="eastAsia" w:asciiTheme="minorEastAsia" w:hAnsiTheme="minorEastAsia" w:eastAsiaTheme="minorEastAsia" w:cstheme="minorEastAsia"/>
          <w:b/>
          <w:color w:val="000000"/>
          <w:kern w:val="0"/>
          <w:sz w:val="21"/>
          <w:szCs w:val="20"/>
        </w:rPr>
      </w:pPr>
      <w:r>
        <w:rPr>
          <w:rFonts w:hint="eastAsia" w:asciiTheme="minorEastAsia" w:hAnsiTheme="minorEastAsia" w:eastAsiaTheme="minorEastAsia" w:cstheme="minorEastAsia"/>
          <w:b/>
          <w:bCs/>
          <w:sz w:val="21"/>
          <w:szCs w:val="22"/>
        </w:rPr>
        <w:t>7.投标文件的递交</w:t>
      </w:r>
      <w:r>
        <w:rPr>
          <w:rFonts w:hint="eastAsia" w:asciiTheme="minorEastAsia" w:hAnsiTheme="minorEastAsia" w:eastAsiaTheme="minorEastAsia" w:cstheme="minorEastAsia"/>
          <w:b/>
          <w:color w:val="000000"/>
          <w:kern w:val="0"/>
          <w:sz w:val="21"/>
          <w:szCs w:val="20"/>
        </w:rPr>
        <w:tab/>
      </w:r>
    </w:p>
    <w:p>
      <w:pPr>
        <w:adjustRightInd w:val="0"/>
        <w:snapToGrid w:val="0"/>
        <w:spacing w:line="360" w:lineRule="auto"/>
        <w:ind w:firstLine="420" w:firstLineChars="200"/>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7.1 投标文件递交的时间与地点：</w:t>
      </w:r>
    </w:p>
    <w:p>
      <w:pPr>
        <w:widowControl/>
        <w:spacing w:line="360" w:lineRule="auto"/>
        <w:ind w:firstLine="480"/>
        <w:jc w:val="left"/>
        <w:rPr>
          <w:rFonts w:hint="eastAsia" w:asciiTheme="minorEastAsia" w:hAnsiTheme="minorEastAsia" w:eastAsiaTheme="minorEastAsia" w:cstheme="minorEastAsia"/>
          <w:sz w:val="21"/>
          <w:szCs w:val="20"/>
          <w:u w:val="single"/>
        </w:rPr>
      </w:pPr>
      <w:r>
        <w:rPr>
          <w:rFonts w:hint="eastAsia" w:asciiTheme="minorEastAsia" w:hAnsiTheme="minorEastAsia" w:eastAsiaTheme="minorEastAsia" w:cstheme="minorEastAsia"/>
          <w:b/>
          <w:color w:val="000000"/>
          <w:kern w:val="0"/>
          <w:sz w:val="21"/>
          <w:szCs w:val="20"/>
        </w:rPr>
        <w:t>纸质投标文件</w:t>
      </w:r>
      <w:r>
        <w:rPr>
          <w:rFonts w:hint="eastAsia" w:asciiTheme="minorEastAsia" w:hAnsiTheme="minorEastAsia" w:eastAsiaTheme="minorEastAsia" w:cstheme="minorEastAsia"/>
          <w:color w:val="000000"/>
          <w:kern w:val="0"/>
          <w:sz w:val="21"/>
          <w:szCs w:val="20"/>
        </w:rPr>
        <w:t>递交投标文件的截止时间为</w:t>
      </w:r>
      <w:r>
        <w:rPr>
          <w:rFonts w:hint="eastAsia" w:asciiTheme="minorEastAsia" w:hAnsiTheme="minorEastAsia" w:eastAsiaTheme="minorEastAsia" w:cstheme="minorEastAsia"/>
          <w:color w:val="000000"/>
          <w:sz w:val="21"/>
          <w:szCs w:val="20"/>
          <w:u w:val="single"/>
        </w:rPr>
        <w:t>2018</w:t>
      </w:r>
      <w:r>
        <w:rPr>
          <w:rFonts w:hint="eastAsia" w:asciiTheme="minorEastAsia" w:hAnsiTheme="minorEastAsia" w:eastAsiaTheme="minorEastAsia" w:cstheme="minorEastAsia"/>
          <w:color w:val="000000"/>
          <w:sz w:val="21"/>
          <w:szCs w:val="20"/>
        </w:rPr>
        <w:t>年</w:t>
      </w:r>
      <w:r>
        <w:rPr>
          <w:rFonts w:hint="eastAsia" w:asciiTheme="minorEastAsia" w:hAnsiTheme="minorEastAsia" w:eastAsiaTheme="minorEastAsia" w:cstheme="minorEastAsia"/>
          <w:color w:val="000000"/>
          <w:sz w:val="21"/>
          <w:szCs w:val="20"/>
          <w:u w:val="single"/>
        </w:rPr>
        <w:t>5</w:t>
      </w:r>
      <w:r>
        <w:rPr>
          <w:rFonts w:hint="eastAsia" w:asciiTheme="minorEastAsia" w:hAnsiTheme="minorEastAsia" w:eastAsiaTheme="minorEastAsia" w:cstheme="minorEastAsia"/>
          <w:color w:val="000000"/>
          <w:sz w:val="21"/>
          <w:szCs w:val="20"/>
        </w:rPr>
        <w:t>月</w:t>
      </w:r>
      <w:r>
        <w:rPr>
          <w:rFonts w:hint="eastAsia" w:asciiTheme="minorEastAsia" w:hAnsiTheme="minorEastAsia" w:eastAsiaTheme="minorEastAsia" w:cstheme="minorEastAsia"/>
          <w:color w:val="000000"/>
          <w:sz w:val="21"/>
          <w:szCs w:val="20"/>
          <w:u w:val="single"/>
        </w:rPr>
        <w:t>9</w:t>
      </w:r>
      <w:r>
        <w:rPr>
          <w:rFonts w:hint="eastAsia" w:asciiTheme="minorEastAsia" w:hAnsiTheme="minorEastAsia" w:eastAsiaTheme="minorEastAsia" w:cstheme="minorEastAsia"/>
          <w:color w:val="000000"/>
          <w:sz w:val="21"/>
          <w:szCs w:val="20"/>
        </w:rPr>
        <w:t>日</w:t>
      </w:r>
      <w:r>
        <w:rPr>
          <w:rFonts w:hint="eastAsia" w:asciiTheme="minorEastAsia" w:hAnsiTheme="minorEastAsia" w:eastAsiaTheme="minorEastAsia" w:cstheme="minorEastAsia"/>
          <w:color w:val="000000"/>
          <w:kern w:val="0"/>
          <w:sz w:val="21"/>
          <w:szCs w:val="20"/>
        </w:rPr>
        <w:t>上午</w:t>
      </w:r>
      <w:r>
        <w:rPr>
          <w:rFonts w:hint="eastAsia" w:asciiTheme="minorEastAsia" w:hAnsiTheme="minorEastAsia" w:eastAsiaTheme="minorEastAsia" w:cstheme="minorEastAsia"/>
          <w:color w:val="000000"/>
          <w:kern w:val="0"/>
          <w:sz w:val="21"/>
          <w:szCs w:val="20"/>
          <w:u w:val="single"/>
        </w:rPr>
        <w:t>10</w:t>
      </w:r>
      <w:r>
        <w:rPr>
          <w:rFonts w:hint="eastAsia" w:asciiTheme="minorEastAsia" w:hAnsiTheme="minorEastAsia" w:eastAsiaTheme="minorEastAsia" w:cstheme="minorEastAsia"/>
          <w:color w:val="000000"/>
          <w:kern w:val="0"/>
          <w:sz w:val="21"/>
          <w:szCs w:val="20"/>
        </w:rPr>
        <w:t>时</w:t>
      </w:r>
      <w:r>
        <w:rPr>
          <w:rFonts w:hint="eastAsia" w:asciiTheme="minorEastAsia" w:hAnsiTheme="minorEastAsia" w:eastAsiaTheme="minorEastAsia" w:cstheme="minorEastAsia"/>
          <w:color w:val="000000"/>
          <w:kern w:val="0"/>
          <w:sz w:val="21"/>
          <w:szCs w:val="20"/>
          <w:u w:val="single"/>
        </w:rPr>
        <w:t>00</w:t>
      </w:r>
      <w:r>
        <w:rPr>
          <w:rFonts w:hint="eastAsia" w:asciiTheme="minorEastAsia" w:hAnsiTheme="minorEastAsia" w:eastAsiaTheme="minorEastAsia" w:cstheme="minorEastAsia"/>
          <w:color w:val="000000"/>
          <w:kern w:val="0"/>
          <w:sz w:val="21"/>
          <w:szCs w:val="20"/>
        </w:rPr>
        <w:t>分（即为开标时间）；递交地点：</w:t>
      </w:r>
      <w:r>
        <w:rPr>
          <w:rFonts w:hint="eastAsia" w:asciiTheme="minorEastAsia" w:hAnsiTheme="minorEastAsia" w:eastAsiaTheme="minorEastAsia" w:cstheme="minorEastAsia"/>
          <w:sz w:val="21"/>
          <w:szCs w:val="20"/>
          <w:u w:val="single"/>
        </w:rPr>
        <w:t>安徽省合肥市阜阳北路454号工地模架中心（阜阳北路生活小区内）</w:t>
      </w:r>
    </w:p>
    <w:p>
      <w:pPr>
        <w:overflowPunct w:val="0"/>
        <w:adjustRightInd w:val="0"/>
        <w:snapToGrid w:val="0"/>
        <w:spacing w:line="360" w:lineRule="auto"/>
        <w:ind w:firstLine="405" w:firstLineChars="193"/>
        <w:textAlignment w:val="baseline"/>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7.2 逾期送达的或者未送达指定地点的投标文件，招标人不予受理。</w:t>
      </w:r>
    </w:p>
    <w:p>
      <w:pPr>
        <w:pStyle w:val="2"/>
        <w:snapToGrid/>
        <w:jc w:val="left"/>
        <w:rPr>
          <w:rFonts w:hint="eastAsia" w:asciiTheme="minorEastAsia" w:hAnsiTheme="minorEastAsia" w:eastAsiaTheme="minorEastAsia" w:cstheme="minorEastAsia"/>
          <w:sz w:val="21"/>
          <w:szCs w:val="22"/>
        </w:rPr>
      </w:pPr>
      <w:bookmarkStart w:id="16" w:name="_Toc9324"/>
      <w:r>
        <w:rPr>
          <w:rFonts w:hint="eastAsia" w:asciiTheme="minorEastAsia" w:hAnsiTheme="minorEastAsia" w:eastAsiaTheme="minorEastAsia" w:cstheme="minorEastAsia"/>
          <w:sz w:val="21"/>
          <w:szCs w:val="22"/>
        </w:rPr>
        <w:t>8.开标：</w:t>
      </w:r>
      <w:bookmarkEnd w:id="16"/>
    </w:p>
    <w:p>
      <w:pPr>
        <w:adjustRightInd w:val="0"/>
        <w:snapToGrid w:val="0"/>
        <w:spacing w:line="360" w:lineRule="auto"/>
        <w:ind w:firstLine="422" w:firstLineChars="200"/>
        <w:rPr>
          <w:rFonts w:hint="eastAsia" w:asciiTheme="minorEastAsia" w:hAnsiTheme="minorEastAsia" w:eastAsiaTheme="minorEastAsia" w:cstheme="minorEastAsia"/>
          <w:b/>
          <w:color w:val="000000"/>
          <w:kern w:val="0"/>
          <w:sz w:val="21"/>
          <w:szCs w:val="20"/>
        </w:rPr>
      </w:pPr>
      <w:r>
        <w:rPr>
          <w:rFonts w:hint="eastAsia" w:asciiTheme="minorEastAsia" w:hAnsiTheme="minorEastAsia" w:eastAsiaTheme="minorEastAsia" w:cstheme="minorEastAsia"/>
          <w:b/>
          <w:color w:val="000000"/>
          <w:kern w:val="0"/>
          <w:sz w:val="21"/>
          <w:szCs w:val="20"/>
        </w:rPr>
        <w:t>8.1开标时间：</w:t>
      </w:r>
      <w:r>
        <w:rPr>
          <w:rFonts w:hint="eastAsia" w:asciiTheme="minorEastAsia" w:hAnsiTheme="minorEastAsia" w:eastAsiaTheme="minorEastAsia" w:cstheme="minorEastAsia"/>
          <w:color w:val="000000"/>
          <w:sz w:val="21"/>
          <w:szCs w:val="20"/>
          <w:u w:val="single"/>
        </w:rPr>
        <w:t>2018</w:t>
      </w:r>
      <w:r>
        <w:rPr>
          <w:rFonts w:hint="eastAsia" w:asciiTheme="minorEastAsia" w:hAnsiTheme="minorEastAsia" w:eastAsiaTheme="minorEastAsia" w:cstheme="minorEastAsia"/>
          <w:color w:val="000000"/>
          <w:sz w:val="21"/>
          <w:szCs w:val="20"/>
        </w:rPr>
        <w:t>年</w:t>
      </w:r>
      <w:r>
        <w:rPr>
          <w:rFonts w:hint="eastAsia" w:asciiTheme="minorEastAsia" w:hAnsiTheme="minorEastAsia" w:eastAsiaTheme="minorEastAsia" w:cstheme="minorEastAsia"/>
          <w:color w:val="000000"/>
          <w:sz w:val="21"/>
          <w:szCs w:val="20"/>
          <w:u w:val="single"/>
        </w:rPr>
        <w:t xml:space="preserve"> 5 </w:t>
      </w:r>
      <w:r>
        <w:rPr>
          <w:rFonts w:hint="eastAsia" w:asciiTheme="minorEastAsia" w:hAnsiTheme="minorEastAsia" w:eastAsiaTheme="minorEastAsia" w:cstheme="minorEastAsia"/>
          <w:color w:val="000000"/>
          <w:sz w:val="21"/>
          <w:szCs w:val="20"/>
        </w:rPr>
        <w:t>月</w:t>
      </w:r>
      <w:r>
        <w:rPr>
          <w:rFonts w:hint="eastAsia" w:asciiTheme="minorEastAsia" w:hAnsiTheme="minorEastAsia" w:eastAsiaTheme="minorEastAsia" w:cstheme="minorEastAsia"/>
          <w:color w:val="000000"/>
          <w:sz w:val="21"/>
          <w:szCs w:val="20"/>
          <w:u w:val="single"/>
        </w:rPr>
        <w:t>9</w:t>
      </w:r>
      <w:r>
        <w:rPr>
          <w:rFonts w:hint="eastAsia" w:asciiTheme="minorEastAsia" w:hAnsiTheme="minorEastAsia" w:eastAsiaTheme="minorEastAsia" w:cstheme="minorEastAsia"/>
          <w:color w:val="000000"/>
          <w:sz w:val="21"/>
          <w:szCs w:val="20"/>
        </w:rPr>
        <w:t>日</w:t>
      </w:r>
      <w:r>
        <w:rPr>
          <w:rFonts w:hint="eastAsia" w:asciiTheme="minorEastAsia" w:hAnsiTheme="minorEastAsia" w:eastAsiaTheme="minorEastAsia" w:cstheme="minorEastAsia"/>
          <w:color w:val="000000"/>
          <w:kern w:val="0"/>
          <w:sz w:val="21"/>
          <w:szCs w:val="20"/>
        </w:rPr>
        <w:t>上午</w:t>
      </w:r>
      <w:r>
        <w:rPr>
          <w:rFonts w:hint="eastAsia" w:asciiTheme="minorEastAsia" w:hAnsiTheme="minorEastAsia" w:eastAsiaTheme="minorEastAsia" w:cstheme="minorEastAsia"/>
          <w:color w:val="000000"/>
          <w:kern w:val="0"/>
          <w:sz w:val="21"/>
          <w:szCs w:val="20"/>
          <w:u w:val="single"/>
        </w:rPr>
        <w:t>10</w:t>
      </w:r>
      <w:r>
        <w:rPr>
          <w:rFonts w:hint="eastAsia" w:asciiTheme="minorEastAsia" w:hAnsiTheme="minorEastAsia" w:eastAsiaTheme="minorEastAsia" w:cstheme="minorEastAsia"/>
          <w:color w:val="000000"/>
          <w:kern w:val="0"/>
          <w:sz w:val="21"/>
          <w:szCs w:val="20"/>
        </w:rPr>
        <w:t>时</w:t>
      </w:r>
      <w:r>
        <w:rPr>
          <w:rFonts w:hint="eastAsia" w:asciiTheme="minorEastAsia" w:hAnsiTheme="minorEastAsia" w:eastAsiaTheme="minorEastAsia" w:cstheme="minorEastAsia"/>
          <w:color w:val="000000"/>
          <w:kern w:val="0"/>
          <w:sz w:val="21"/>
          <w:szCs w:val="20"/>
          <w:u w:val="single"/>
        </w:rPr>
        <w:t>00</w:t>
      </w:r>
      <w:r>
        <w:rPr>
          <w:rFonts w:hint="eastAsia" w:asciiTheme="minorEastAsia" w:hAnsiTheme="minorEastAsia" w:eastAsiaTheme="minorEastAsia" w:cstheme="minorEastAsia"/>
          <w:color w:val="000000"/>
          <w:kern w:val="0"/>
          <w:sz w:val="21"/>
          <w:szCs w:val="20"/>
        </w:rPr>
        <w:t>分。</w:t>
      </w:r>
    </w:p>
    <w:p>
      <w:pPr>
        <w:spacing w:line="360" w:lineRule="auto"/>
        <w:ind w:firstLine="426" w:firstLineChars="202"/>
        <w:rPr>
          <w:rFonts w:hint="eastAsia" w:asciiTheme="minorEastAsia" w:hAnsiTheme="minorEastAsia" w:eastAsiaTheme="minorEastAsia" w:cstheme="minorEastAsia"/>
          <w:color w:val="000000"/>
          <w:kern w:val="0"/>
          <w:sz w:val="21"/>
          <w:szCs w:val="20"/>
          <w:u w:val="single"/>
        </w:rPr>
      </w:pPr>
      <w:r>
        <w:rPr>
          <w:rFonts w:hint="eastAsia" w:asciiTheme="minorEastAsia" w:hAnsiTheme="minorEastAsia" w:eastAsiaTheme="minorEastAsia" w:cstheme="minorEastAsia"/>
          <w:b/>
          <w:color w:val="000000"/>
          <w:kern w:val="0"/>
          <w:sz w:val="21"/>
          <w:szCs w:val="20"/>
        </w:rPr>
        <w:t>8.2开标地点：</w:t>
      </w:r>
      <w:r>
        <w:rPr>
          <w:rFonts w:hint="eastAsia" w:asciiTheme="minorEastAsia" w:hAnsiTheme="minorEastAsia" w:eastAsiaTheme="minorEastAsia" w:cstheme="minorEastAsia"/>
          <w:sz w:val="21"/>
          <w:szCs w:val="20"/>
          <w:u w:val="single"/>
        </w:rPr>
        <w:t>中铁四局集团四公司工地模架中心会议室。</w:t>
      </w:r>
    </w:p>
    <w:p>
      <w:pPr>
        <w:spacing w:line="360" w:lineRule="auto"/>
        <w:ind w:firstLine="424" w:firstLineChars="202"/>
        <w:rPr>
          <w:rFonts w:hint="eastAsia" w:asciiTheme="minorEastAsia" w:hAnsiTheme="minorEastAsia" w:eastAsiaTheme="minorEastAsia" w:cstheme="minorEastAsia"/>
          <w:color w:val="000000"/>
          <w:sz w:val="21"/>
          <w:szCs w:val="20"/>
        </w:rPr>
      </w:pPr>
      <w:r>
        <w:rPr>
          <w:rFonts w:hint="eastAsia" w:asciiTheme="minorEastAsia" w:hAnsiTheme="minorEastAsia" w:eastAsiaTheme="minorEastAsia" w:cstheme="minorEastAsia"/>
          <w:color w:val="000000"/>
          <w:sz w:val="21"/>
          <w:szCs w:val="20"/>
        </w:rPr>
        <w:t>届时请投标人法定代表人或其委托代理人按会场规定秩序参加。</w:t>
      </w:r>
    </w:p>
    <w:p>
      <w:pPr>
        <w:pStyle w:val="2"/>
        <w:snapToGrid/>
        <w:jc w:val="left"/>
        <w:rPr>
          <w:rFonts w:hint="eastAsia" w:asciiTheme="minorEastAsia" w:hAnsiTheme="minorEastAsia" w:eastAsiaTheme="minorEastAsia" w:cstheme="minorEastAsia"/>
          <w:sz w:val="21"/>
          <w:szCs w:val="22"/>
        </w:rPr>
      </w:pPr>
      <w:bookmarkStart w:id="17" w:name="_Toc31744"/>
      <w:r>
        <w:rPr>
          <w:rFonts w:hint="eastAsia" w:asciiTheme="minorEastAsia" w:hAnsiTheme="minorEastAsia" w:eastAsiaTheme="minorEastAsia" w:cstheme="minorEastAsia"/>
          <w:sz w:val="21"/>
          <w:szCs w:val="22"/>
        </w:rPr>
        <w:t>9.发布公告的媒介</w:t>
      </w:r>
      <w:bookmarkEnd w:id="17"/>
    </w:p>
    <w:p>
      <w:pPr>
        <w:adjustRightInd w:val="0"/>
        <w:snapToGrid w:val="0"/>
        <w:spacing w:line="360" w:lineRule="auto"/>
        <w:ind w:firstLine="424" w:firstLineChars="202"/>
        <w:rPr>
          <w:rFonts w:hint="eastAsia" w:asciiTheme="minorEastAsia" w:hAnsiTheme="minorEastAsia" w:eastAsiaTheme="minorEastAsia" w:cstheme="minorEastAsia"/>
          <w:color w:val="000000"/>
          <w:kern w:val="0"/>
          <w:sz w:val="21"/>
          <w:szCs w:val="20"/>
        </w:rPr>
      </w:pPr>
      <w:r>
        <w:rPr>
          <w:rFonts w:hint="eastAsia" w:asciiTheme="minorEastAsia" w:hAnsiTheme="minorEastAsia" w:eastAsiaTheme="minorEastAsia" w:cstheme="minorEastAsia"/>
          <w:color w:val="000000"/>
          <w:kern w:val="0"/>
          <w:sz w:val="21"/>
          <w:szCs w:val="20"/>
        </w:rPr>
        <w:t>本次招标公告在中国中铁采购电子商务平台</w:t>
      </w:r>
      <w:r>
        <w:rPr>
          <w:rFonts w:hint="eastAsia" w:asciiTheme="minorEastAsia" w:hAnsiTheme="minorEastAsia" w:eastAsiaTheme="minorEastAsia" w:cstheme="minorEastAsia"/>
          <w:color w:val="000000"/>
          <w:kern w:val="0"/>
          <w:sz w:val="21"/>
          <w:szCs w:val="20"/>
          <w:u w:val="single"/>
        </w:rPr>
        <w:t>（</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"http://www.crecgec.com/" </w:instrText>
      </w:r>
      <w:r>
        <w:rPr>
          <w:rFonts w:hint="eastAsia" w:asciiTheme="minorEastAsia" w:hAnsiTheme="minorEastAsia" w:eastAsiaTheme="minorEastAsia" w:cstheme="minorEastAsia"/>
          <w:sz w:val="21"/>
        </w:rPr>
        <w:fldChar w:fldCharType="separate"/>
      </w:r>
      <w:r>
        <w:rPr>
          <w:rStyle w:val="6"/>
          <w:rFonts w:hint="eastAsia" w:asciiTheme="minorEastAsia" w:hAnsiTheme="minorEastAsia" w:eastAsiaTheme="minorEastAsia" w:cstheme="minorEastAsia"/>
          <w:color w:val="000000"/>
          <w:kern w:val="0"/>
          <w:sz w:val="21"/>
          <w:szCs w:val="20"/>
        </w:rPr>
        <w:t>www.crecgec.com</w:t>
      </w:r>
      <w:r>
        <w:rPr>
          <w:rStyle w:val="6"/>
          <w:rFonts w:hint="eastAsia" w:asciiTheme="minorEastAsia" w:hAnsiTheme="minorEastAsia" w:eastAsiaTheme="minorEastAsia" w:cstheme="minorEastAsia"/>
          <w:color w:val="000000"/>
          <w:kern w:val="0"/>
          <w:sz w:val="21"/>
          <w:szCs w:val="20"/>
        </w:rPr>
        <w:fldChar w:fldCharType="end"/>
      </w:r>
      <w:r>
        <w:rPr>
          <w:rFonts w:hint="eastAsia" w:asciiTheme="minorEastAsia" w:hAnsiTheme="minorEastAsia" w:eastAsiaTheme="minorEastAsia" w:cstheme="minorEastAsia"/>
          <w:color w:val="000000"/>
          <w:kern w:val="0"/>
          <w:sz w:val="21"/>
          <w:szCs w:val="20"/>
          <w:u w:val="single"/>
        </w:rPr>
        <w:t>）</w:t>
      </w:r>
      <w:r>
        <w:rPr>
          <w:rFonts w:hint="eastAsia" w:asciiTheme="minorEastAsia" w:hAnsiTheme="minorEastAsia" w:eastAsiaTheme="minorEastAsia" w:cstheme="minorEastAsia"/>
          <w:color w:val="000000"/>
          <w:kern w:val="0"/>
          <w:sz w:val="21"/>
          <w:szCs w:val="20"/>
        </w:rPr>
        <w:t>和中国采购与招标网</w:t>
      </w:r>
      <w:r>
        <w:rPr>
          <w:rFonts w:hint="eastAsia" w:asciiTheme="minorEastAsia" w:hAnsiTheme="minorEastAsia" w:eastAsiaTheme="minorEastAsia" w:cstheme="minorEastAsia"/>
          <w:color w:val="000000"/>
          <w:kern w:val="0"/>
          <w:sz w:val="21"/>
          <w:szCs w:val="20"/>
          <w:u w:val="single"/>
        </w:rPr>
        <w:t>（</w:t>
      </w:r>
      <w:r>
        <w:rPr>
          <w:rFonts w:hint="eastAsia" w:asciiTheme="minorEastAsia" w:hAnsiTheme="minorEastAsia" w:eastAsiaTheme="minorEastAsia" w:cstheme="minorEastAsia"/>
          <w:sz w:val="21"/>
        </w:rPr>
        <w:fldChar w:fldCharType="begin"/>
      </w:r>
      <w:r>
        <w:rPr>
          <w:rFonts w:hint="eastAsia" w:asciiTheme="minorEastAsia" w:hAnsiTheme="minorEastAsia" w:eastAsiaTheme="minorEastAsia" w:cstheme="minorEastAsia"/>
          <w:sz w:val="21"/>
        </w:rPr>
        <w:instrText xml:space="preserve"> HYPERLINK "http://www.chinabidding.com.cn/" </w:instrText>
      </w:r>
      <w:r>
        <w:rPr>
          <w:rFonts w:hint="eastAsia" w:asciiTheme="minorEastAsia" w:hAnsiTheme="minorEastAsia" w:eastAsiaTheme="minorEastAsia" w:cstheme="minorEastAsia"/>
          <w:sz w:val="21"/>
        </w:rPr>
        <w:fldChar w:fldCharType="separate"/>
      </w:r>
      <w:r>
        <w:rPr>
          <w:rStyle w:val="6"/>
          <w:rFonts w:hint="eastAsia" w:asciiTheme="minorEastAsia" w:hAnsiTheme="minorEastAsia" w:eastAsiaTheme="minorEastAsia" w:cstheme="minorEastAsia"/>
          <w:color w:val="000000"/>
          <w:kern w:val="0"/>
          <w:sz w:val="21"/>
          <w:szCs w:val="20"/>
        </w:rPr>
        <w:t>www.chinabidding.com.cn</w:t>
      </w:r>
      <w:r>
        <w:rPr>
          <w:rStyle w:val="6"/>
          <w:rFonts w:hint="eastAsia" w:asciiTheme="minorEastAsia" w:hAnsiTheme="minorEastAsia" w:eastAsiaTheme="minorEastAsia" w:cstheme="minorEastAsia"/>
          <w:color w:val="000000"/>
          <w:kern w:val="0"/>
          <w:sz w:val="21"/>
          <w:szCs w:val="20"/>
        </w:rPr>
        <w:fldChar w:fldCharType="end"/>
      </w:r>
      <w:r>
        <w:rPr>
          <w:rFonts w:hint="eastAsia" w:asciiTheme="minorEastAsia" w:hAnsiTheme="minorEastAsia" w:eastAsiaTheme="minorEastAsia" w:cstheme="minorEastAsia"/>
          <w:color w:val="000000"/>
          <w:kern w:val="0"/>
          <w:sz w:val="21"/>
          <w:szCs w:val="20"/>
          <w:u w:val="single"/>
        </w:rPr>
        <w:t>）</w:t>
      </w:r>
      <w:r>
        <w:rPr>
          <w:rFonts w:hint="eastAsia" w:asciiTheme="minorEastAsia" w:hAnsiTheme="minorEastAsia" w:eastAsiaTheme="minorEastAsia" w:cstheme="minorEastAsia"/>
          <w:color w:val="000000"/>
          <w:kern w:val="0"/>
          <w:sz w:val="21"/>
          <w:szCs w:val="20"/>
        </w:rPr>
        <w:t>上同时发布。</w:t>
      </w:r>
    </w:p>
    <w:p>
      <w:pPr>
        <w:pStyle w:val="2"/>
        <w:snapToGrid/>
        <w:jc w:val="left"/>
        <w:rPr>
          <w:rFonts w:hint="eastAsia" w:asciiTheme="minorEastAsia" w:hAnsiTheme="minorEastAsia" w:eastAsiaTheme="minorEastAsia" w:cstheme="minorEastAsia"/>
          <w:sz w:val="21"/>
          <w:szCs w:val="22"/>
        </w:rPr>
      </w:pPr>
      <w:bookmarkStart w:id="18" w:name="_Toc31146"/>
      <w:r>
        <w:rPr>
          <w:rFonts w:hint="eastAsia" w:asciiTheme="minorEastAsia" w:hAnsiTheme="minorEastAsia" w:eastAsiaTheme="minorEastAsia" w:cstheme="minorEastAsia"/>
          <w:sz w:val="21"/>
          <w:szCs w:val="22"/>
        </w:rPr>
        <w:t>10.招标人信息及相关单位联系方式</w:t>
      </w:r>
      <w:bookmarkEnd w:id="18"/>
    </w:p>
    <w:p>
      <w:pPr>
        <w:widowControl/>
        <w:spacing w:line="360" w:lineRule="auto"/>
        <w:ind w:firstLine="420" w:firstLineChars="20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招标组织单位：中铁四局集团第四工程有限公司</w:t>
      </w:r>
    </w:p>
    <w:p>
      <w:pPr>
        <w:widowControl/>
        <w:spacing w:line="360" w:lineRule="auto"/>
        <w:ind w:firstLine="420" w:firstLineChars="20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联系人：杜文浩             联系电话：055165242653</w:t>
      </w:r>
    </w:p>
    <w:p>
      <w:pPr>
        <w:widowControl/>
        <w:spacing w:line="360" w:lineRule="auto"/>
        <w:ind w:firstLine="420" w:firstLineChars="200"/>
        <w:jc w:val="left"/>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联系地址：安徽省合肥市张洼路106号中铁四局第四工程有限公司物资设备部</w:t>
      </w:r>
    </w:p>
    <w:p>
      <w:pPr>
        <w:spacing w:line="360" w:lineRule="auto"/>
        <w:ind w:firstLine="420" w:firstLineChars="200"/>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招标人：中铁四局集团有限公司蒙华铁路MHTJ-3标项目经理部</w:t>
      </w:r>
    </w:p>
    <w:p>
      <w:pPr>
        <w:pStyle w:val="4"/>
        <w:spacing w:after="0" w:line="360" w:lineRule="auto"/>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地址：陕西省榆林市靖边县杨桥畔镇沙畔村中铁四局蒙华铁路MHTJ-3标项目经理部</w:t>
      </w:r>
    </w:p>
    <w:p>
      <w:pPr>
        <w:pStyle w:val="4"/>
        <w:spacing w:after="0" w:line="360" w:lineRule="auto"/>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联系人:鱼欢              联系电话：15710018105</w:t>
      </w:r>
    </w:p>
    <w:p>
      <w:pPr>
        <w:pStyle w:val="4"/>
        <w:spacing w:after="0" w:line="360" w:lineRule="auto"/>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sz w:val="21"/>
          <w:szCs w:val="20"/>
        </w:rPr>
        <w:t xml:space="preserve">          </w:t>
      </w:r>
    </w:p>
    <w:p>
      <w:pPr>
        <w:spacing w:line="360" w:lineRule="auto"/>
        <w:ind w:firstLine="420" w:firstLineChars="200"/>
        <w:rPr>
          <w:rFonts w:hint="eastAsia" w:asciiTheme="minorEastAsia" w:hAnsiTheme="minorEastAsia" w:eastAsiaTheme="minorEastAsia" w:cstheme="minorEastAsia"/>
          <w:kern w:val="0"/>
          <w:sz w:val="21"/>
          <w:szCs w:val="20"/>
        </w:rPr>
      </w:pPr>
      <w:r>
        <w:rPr>
          <w:rFonts w:hint="eastAsia" w:asciiTheme="minorEastAsia" w:hAnsiTheme="minorEastAsia" w:eastAsiaTheme="minorEastAsia" w:cstheme="minorEastAsia"/>
          <w:kern w:val="0"/>
          <w:sz w:val="21"/>
          <w:szCs w:val="20"/>
        </w:rPr>
        <w:t xml:space="preserve">                              </w:t>
      </w:r>
    </w:p>
    <w:p>
      <w:pPr>
        <w:spacing w:line="360" w:lineRule="auto"/>
        <w:ind w:firstLine="3675" w:firstLineChars="1750"/>
        <w:rPr>
          <w:rFonts w:hint="eastAsia" w:asciiTheme="minorEastAsia" w:hAnsiTheme="minorEastAsia" w:eastAsiaTheme="minorEastAsia" w:cstheme="minorEastAsia"/>
          <w:sz w:val="21"/>
          <w:szCs w:val="20"/>
        </w:rPr>
      </w:pPr>
      <w:r>
        <w:rPr>
          <w:rFonts w:hint="eastAsia" w:asciiTheme="minorEastAsia" w:hAnsiTheme="minorEastAsia" w:eastAsiaTheme="minorEastAsia" w:cstheme="minorEastAsia"/>
          <w:kern w:val="0"/>
          <w:sz w:val="21"/>
          <w:szCs w:val="20"/>
        </w:rPr>
        <w:t xml:space="preserve">    </w:t>
      </w:r>
      <w:r>
        <w:rPr>
          <w:rFonts w:hint="eastAsia" w:asciiTheme="minorEastAsia" w:hAnsiTheme="minorEastAsia" w:eastAsiaTheme="minorEastAsia" w:cstheme="minorEastAsia"/>
          <w:sz w:val="21"/>
          <w:szCs w:val="20"/>
        </w:rPr>
        <w:t>中铁四局集团有限公司蒙华铁路MHTJ-3标项目经理部</w:t>
      </w:r>
    </w:p>
    <w:p>
      <w:pPr>
        <w:spacing w:line="360" w:lineRule="auto"/>
        <w:ind w:firstLine="420" w:firstLineChars="200"/>
        <w:rPr>
          <w:rFonts w:ascii="宋体" w:hAnsi="宋体"/>
          <w:color w:val="000000"/>
          <w:sz w:val="20"/>
          <w:szCs w:val="20"/>
        </w:rPr>
      </w:pPr>
      <w:r>
        <w:rPr>
          <w:rFonts w:hint="eastAsia" w:asciiTheme="minorEastAsia" w:hAnsiTheme="minorEastAsia" w:eastAsiaTheme="minorEastAsia" w:cstheme="minorEastAsia"/>
          <w:sz w:val="21"/>
          <w:szCs w:val="20"/>
        </w:rPr>
        <w:t xml:space="preserve">                                                     2018年4月17日</w:t>
      </w:r>
      <w:r>
        <w:rPr>
          <w:rFonts w:hint="eastAsia" w:asciiTheme="minorEastAsia" w:hAnsiTheme="minorEastAsia" w:eastAsiaTheme="minorEastAsia" w:cstheme="minorEastAsia"/>
          <w:color w:val="FF0000"/>
          <w:sz w:val="21"/>
          <w:szCs w:val="20"/>
        </w:rPr>
        <w:t xml:space="preserve">      </w:t>
      </w:r>
      <w:r>
        <w:rPr>
          <w:rFonts w:ascii="宋体" w:hAnsi="宋体" w:cs="宋体"/>
          <w:color w:val="FF0000"/>
          <w:sz w:val="20"/>
          <w:szCs w:val="20"/>
        </w:rPr>
        <w:t xml:space="preserve">                        </w:t>
      </w:r>
      <w:r>
        <w:rPr>
          <w:rFonts w:ascii="宋体" w:hAnsi="宋体"/>
          <w:color w:val="FF0000"/>
          <w:sz w:val="20"/>
          <w:szCs w:val="20"/>
        </w:rPr>
        <w:t xml:space="preserve">          </w:t>
      </w:r>
      <w:r>
        <w:rPr>
          <w:rFonts w:ascii="宋体" w:hAnsi="宋体"/>
          <w:color w:val="000000"/>
          <w:sz w:val="20"/>
          <w:szCs w:val="20"/>
        </w:rPr>
        <w:t xml:space="preserve">  </w:t>
      </w:r>
    </w:p>
    <w:p>
      <w:pPr>
        <w:widowControl/>
        <w:jc w:val="left"/>
        <w:rPr>
          <w:rFonts w:ascii="宋体" w:hAnsi="宋体"/>
          <w:sz w:val="20"/>
          <w:szCs w:val="20"/>
        </w:rPr>
        <w:sectPr>
          <w:pgSz w:w="11906" w:h="16838"/>
          <w:pgMar w:top="1418" w:right="1418" w:bottom="1418" w:left="1418" w:header="851" w:footer="851" w:gutter="0"/>
          <w:pgNumType w:start="1"/>
          <w:cols w:space="720" w:num="1"/>
        </w:sectPr>
      </w:pPr>
    </w:p>
    <w:bookmarkEnd w:id="0"/>
    <w:bookmarkEnd w:id="14"/>
    <w:bookmarkEnd w:id="15"/>
    <w:p>
      <w:pPr>
        <w:jc w:val="left"/>
        <w:rPr>
          <w:rFonts w:ascii="宋体" w:hAnsi="宋体"/>
          <w:b/>
          <w:sz w:val="22"/>
          <w:szCs w:val="22"/>
        </w:rPr>
      </w:pPr>
      <w:bookmarkStart w:id="19" w:name="_Toc455644138"/>
      <w:bookmarkStart w:id="20" w:name="_Toc453093658"/>
      <w:bookmarkStart w:id="21" w:name="_Toc29676"/>
      <w:bookmarkStart w:id="22" w:name="_Toc401836666"/>
      <w:bookmarkStart w:id="23" w:name="_Toc390938754"/>
      <w:r>
        <w:rPr>
          <w:rStyle w:val="8"/>
          <w:rFonts w:hint="eastAsia"/>
          <w:sz w:val="22"/>
          <w:szCs w:val="22"/>
        </w:rPr>
        <w:t>附表1</w:t>
      </w:r>
      <w:bookmarkEnd w:id="19"/>
      <w:bookmarkEnd w:id="20"/>
      <w:r>
        <w:rPr>
          <w:rStyle w:val="8"/>
          <w:rFonts w:hint="eastAsia"/>
          <w:sz w:val="22"/>
          <w:szCs w:val="22"/>
        </w:rPr>
        <w:t xml:space="preserve">  </w:t>
      </w:r>
      <w:bookmarkEnd w:id="21"/>
      <w:r>
        <w:rPr>
          <w:rFonts w:hint="eastAsia" w:ascii="宋体" w:hAnsi="宋体"/>
          <w:sz w:val="20"/>
          <w:szCs w:val="20"/>
        </w:rPr>
        <w:t xml:space="preserve">                                            </w:t>
      </w:r>
      <w:r>
        <w:rPr>
          <w:rFonts w:hint="eastAsia" w:ascii="宋体" w:hAnsi="宋体"/>
          <w:b/>
          <w:sz w:val="26"/>
          <w:szCs w:val="26"/>
        </w:rPr>
        <w:t>招标物资包件划分表</w:t>
      </w:r>
    </w:p>
    <w:p>
      <w:pPr>
        <w:widowControl/>
        <w:jc w:val="left"/>
        <w:rPr>
          <w:rFonts w:ascii="宋体" w:hAnsi="宋体"/>
          <w:sz w:val="20"/>
          <w:szCs w:val="20"/>
        </w:rPr>
      </w:pPr>
    </w:p>
    <w:tbl>
      <w:tblPr>
        <w:tblStyle w:val="7"/>
        <w:tblW w:w="14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329"/>
        <w:gridCol w:w="993"/>
        <w:gridCol w:w="992"/>
        <w:gridCol w:w="1276"/>
        <w:gridCol w:w="5528"/>
        <w:gridCol w:w="1353"/>
        <w:gridCol w:w="1164"/>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序号</w:t>
            </w: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物资</w:t>
            </w:r>
          </w:p>
          <w:p>
            <w:pPr>
              <w:spacing w:line="320" w:lineRule="exact"/>
              <w:jc w:val="center"/>
              <w:rPr>
                <w:rFonts w:ascii="宋体" w:hAnsi="宋体" w:cs="宋体"/>
                <w:b/>
                <w:bCs/>
                <w:sz w:val="20"/>
                <w:szCs w:val="20"/>
              </w:rPr>
            </w:pPr>
            <w:r>
              <w:rPr>
                <w:rFonts w:hint="eastAsia" w:ascii="宋体" w:hAnsi="宋体" w:cs="宋体"/>
                <w:b/>
                <w:bCs/>
                <w:sz w:val="20"/>
                <w:szCs w:val="20"/>
              </w:rPr>
              <w:t>名称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包件号</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计量单位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包件总量</w:t>
            </w:r>
          </w:p>
        </w:tc>
        <w:tc>
          <w:tcPr>
            <w:tcW w:w="55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投标人专用资格条件</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收货人</w:t>
            </w: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招标文件售价(元)</w:t>
            </w:r>
          </w:p>
        </w:tc>
        <w:tc>
          <w:tcPr>
            <w:tcW w:w="10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45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1</w:t>
            </w: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钢板网防护栅栏</w:t>
            </w:r>
          </w:p>
        </w:tc>
        <w:tc>
          <w:tcPr>
            <w:tcW w:w="99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FHZL-01</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12429</w:t>
            </w:r>
          </w:p>
        </w:tc>
        <w:tc>
          <w:tcPr>
            <w:tcW w:w="5528" w:type="dxa"/>
            <w:vMerge w:val="restart"/>
            <w:tcBorders>
              <w:top w:val="single" w:color="auto" w:sz="4" w:space="0"/>
              <w:left w:val="single" w:color="auto" w:sz="4" w:space="0"/>
              <w:right w:val="single" w:color="auto" w:sz="4" w:space="0"/>
            </w:tcBorders>
            <w:vAlign w:val="center"/>
          </w:tcPr>
          <w:p>
            <w:pPr>
              <w:wordWrap w:val="0"/>
              <w:spacing w:line="360" w:lineRule="auto"/>
              <w:rPr>
                <w:rFonts w:ascii="宋体" w:hAnsi="宋体"/>
                <w:sz w:val="20"/>
                <w:szCs w:val="20"/>
              </w:rPr>
            </w:pPr>
            <w:r>
              <w:rPr>
                <w:rFonts w:hint="eastAsia" w:ascii="宋体" w:hAnsi="宋体"/>
                <w:sz w:val="20"/>
                <w:szCs w:val="21"/>
              </w:rPr>
              <w:t>1.</w:t>
            </w:r>
            <w:r>
              <w:rPr>
                <w:rFonts w:ascii="宋体" w:hAnsi="宋体"/>
                <w:sz w:val="20"/>
                <w:szCs w:val="21"/>
              </w:rPr>
              <w:t xml:space="preserve"> 生产能力要求：投标产品生产商须具备钢板网片年产不低于</w:t>
            </w:r>
            <w:r>
              <w:rPr>
                <w:rFonts w:hint="eastAsia" w:ascii="宋体" w:hAnsi="宋体"/>
                <w:sz w:val="20"/>
                <w:szCs w:val="21"/>
              </w:rPr>
              <w:t>200</w:t>
            </w:r>
            <w:r>
              <w:rPr>
                <w:rFonts w:ascii="宋体" w:hAnsi="宋体"/>
                <w:sz w:val="20"/>
                <w:szCs w:val="21"/>
              </w:rPr>
              <w:t>万平米的生产能力，且拥有相应的配套生产、检测设备。</w:t>
            </w:r>
          </w:p>
          <w:p>
            <w:pPr>
              <w:wordWrap w:val="0"/>
              <w:spacing w:line="360" w:lineRule="auto"/>
              <w:rPr>
                <w:rFonts w:ascii="宋体" w:hAnsi="宋体"/>
                <w:sz w:val="20"/>
                <w:szCs w:val="20"/>
              </w:rPr>
            </w:pPr>
            <w:r>
              <w:rPr>
                <w:rFonts w:hint="eastAsia" w:ascii="宋体" w:hAnsi="宋体"/>
                <w:sz w:val="20"/>
                <w:szCs w:val="20"/>
              </w:rPr>
              <w:t>2.</w:t>
            </w:r>
            <w:r>
              <w:rPr>
                <w:rFonts w:hint="eastAsia" w:ascii="宋体" w:hAnsi="宋体"/>
                <w:color w:val="000000"/>
                <w:sz w:val="20"/>
                <w:szCs w:val="20"/>
              </w:rPr>
              <w:t xml:space="preserve"> 财务能力要求：注册资金不低于500万人民币，资金财务状况良好，具有近两年经会计师事务所或审计机构审计的财务会计报表。</w:t>
            </w:r>
          </w:p>
          <w:p>
            <w:pPr>
              <w:wordWrap w:val="0"/>
              <w:spacing w:line="360" w:lineRule="auto"/>
              <w:rPr>
                <w:rFonts w:ascii="宋体" w:hAnsi="宋体"/>
                <w:sz w:val="20"/>
                <w:szCs w:val="20"/>
              </w:rPr>
            </w:pPr>
            <w:r>
              <w:rPr>
                <w:rFonts w:hint="eastAsia" w:ascii="宋体" w:hAnsi="宋体"/>
                <w:sz w:val="20"/>
                <w:szCs w:val="20"/>
              </w:rPr>
              <w:t>3.本次招标不接受中间商和代理商投标。</w:t>
            </w:r>
          </w:p>
          <w:p>
            <w:pPr>
              <w:wordWrap w:val="0"/>
              <w:spacing w:line="360" w:lineRule="auto"/>
              <w:rPr>
                <w:rFonts w:ascii="宋体" w:hAnsi="宋体"/>
                <w:sz w:val="20"/>
                <w:szCs w:val="21"/>
              </w:rPr>
            </w:pPr>
          </w:p>
          <w:p>
            <w:pPr>
              <w:spacing w:line="360" w:lineRule="exact"/>
              <w:rPr>
                <w:rFonts w:ascii="宋体" w:hAnsi="宋体"/>
                <w:sz w:val="19"/>
                <w:szCs w:val="19"/>
              </w:rPr>
            </w:pPr>
          </w:p>
        </w:tc>
        <w:tc>
          <w:tcPr>
            <w:tcW w:w="1353"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 xml:space="preserve"> 中铁四局蒙华铁路MHTJ-3标项目经理部各工区</w:t>
            </w:r>
          </w:p>
          <w:p>
            <w:pPr>
              <w:spacing w:line="320" w:lineRule="exact"/>
              <w:jc w:val="center"/>
              <w:rPr>
                <w:rFonts w:ascii="宋体" w:hAnsi="宋体"/>
                <w:sz w:val="20"/>
                <w:szCs w:val="20"/>
              </w:rPr>
            </w:pPr>
            <w:r>
              <w:rPr>
                <w:rFonts w:hint="eastAsia" w:ascii="宋体" w:hAnsi="宋体"/>
                <w:sz w:val="20"/>
                <w:szCs w:val="20"/>
              </w:rPr>
              <w:t xml:space="preserve"> </w:t>
            </w:r>
          </w:p>
        </w:tc>
        <w:tc>
          <w:tcPr>
            <w:tcW w:w="1164"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500</w:t>
            </w:r>
          </w:p>
        </w:tc>
        <w:tc>
          <w:tcPr>
            <w:tcW w:w="1076" w:type="dxa"/>
            <w:vMerge w:val="restart"/>
            <w:tcBorders>
              <w:top w:val="single" w:color="auto" w:sz="4" w:space="0"/>
              <w:left w:val="single" w:color="auto" w:sz="4" w:space="0"/>
              <w:right w:val="single" w:color="auto" w:sz="4" w:space="0"/>
            </w:tcBorders>
            <w:vAlign w:val="center"/>
          </w:tcPr>
          <w:p>
            <w:pPr>
              <w:spacing w:line="320" w:lineRule="exact"/>
              <w:ind w:firstLine="300" w:firstLineChars="150"/>
              <w:rPr>
                <w:rFonts w:ascii="宋体" w:hAnsi="宋体"/>
                <w:sz w:val="20"/>
                <w:szCs w:val="20"/>
              </w:rPr>
            </w:pPr>
            <w:r>
              <w:rPr>
                <w:rFonts w:hint="eastAsia" w:ascii="宋体" w:hAnsi="宋体"/>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45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钢板网螺杆、螺栓及防盗垫圈</w:t>
            </w:r>
          </w:p>
        </w:tc>
        <w:tc>
          <w:tcPr>
            <w:tcW w:w="993" w:type="dxa"/>
            <w:vMerge w:val="continue"/>
            <w:tcBorders>
              <w:left w:val="single" w:color="auto" w:sz="4" w:space="0"/>
              <w:bottom w:val="single" w:color="auto" w:sz="4" w:space="0"/>
              <w:right w:val="single" w:color="auto" w:sz="4" w:space="0"/>
            </w:tcBorders>
            <w:vAlign w:val="center"/>
          </w:tcPr>
          <w:p>
            <w:pPr>
              <w:spacing w:line="320" w:lineRule="exact"/>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67116</w:t>
            </w:r>
          </w:p>
        </w:tc>
        <w:tc>
          <w:tcPr>
            <w:tcW w:w="5528"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35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c>
          <w:tcPr>
            <w:tcW w:w="116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c>
          <w:tcPr>
            <w:tcW w:w="107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exact"/>
          <w:jc w:val="center"/>
        </w:trPr>
        <w:tc>
          <w:tcPr>
            <w:tcW w:w="45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2</w:t>
            </w: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钢板网防护栅栏</w:t>
            </w:r>
          </w:p>
        </w:tc>
        <w:tc>
          <w:tcPr>
            <w:tcW w:w="99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FHZL-02</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8662</w:t>
            </w:r>
          </w:p>
        </w:tc>
        <w:tc>
          <w:tcPr>
            <w:tcW w:w="5528"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353"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中铁四局蒙华铁路MHTJ-3标项目经理部各工区</w:t>
            </w:r>
          </w:p>
          <w:p>
            <w:pPr>
              <w:spacing w:line="320" w:lineRule="exact"/>
              <w:jc w:val="center"/>
              <w:rPr>
                <w:rFonts w:ascii="宋体" w:hAnsi="宋体"/>
                <w:sz w:val="20"/>
                <w:szCs w:val="20"/>
              </w:rPr>
            </w:pPr>
          </w:p>
        </w:tc>
        <w:tc>
          <w:tcPr>
            <w:tcW w:w="1164"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500</w:t>
            </w:r>
          </w:p>
        </w:tc>
        <w:tc>
          <w:tcPr>
            <w:tcW w:w="1076"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exact"/>
          <w:jc w:val="center"/>
        </w:trPr>
        <w:tc>
          <w:tcPr>
            <w:tcW w:w="45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钢板网螺杆、螺栓及防盗垫圈</w:t>
            </w:r>
          </w:p>
        </w:tc>
        <w:tc>
          <w:tcPr>
            <w:tcW w:w="99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46774</w:t>
            </w:r>
          </w:p>
        </w:tc>
        <w:tc>
          <w:tcPr>
            <w:tcW w:w="5528"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353" w:type="dxa"/>
            <w:vMerge w:val="continue"/>
            <w:tcBorders>
              <w:left w:val="single" w:color="auto" w:sz="4" w:space="0"/>
              <w:right w:val="single" w:color="auto" w:sz="4" w:space="0"/>
            </w:tcBorders>
            <w:vAlign w:val="center"/>
          </w:tcPr>
          <w:p>
            <w:pPr>
              <w:spacing w:line="320" w:lineRule="exact"/>
              <w:jc w:val="center"/>
              <w:rPr>
                <w:rFonts w:ascii="宋体" w:hAnsi="宋体"/>
                <w:sz w:val="20"/>
                <w:szCs w:val="20"/>
              </w:rPr>
            </w:pPr>
          </w:p>
        </w:tc>
        <w:tc>
          <w:tcPr>
            <w:tcW w:w="116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c>
          <w:tcPr>
            <w:tcW w:w="107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exact"/>
          <w:jc w:val="center"/>
        </w:trPr>
        <w:tc>
          <w:tcPr>
            <w:tcW w:w="45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3</w:t>
            </w: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钢板网防护栅栏</w:t>
            </w:r>
          </w:p>
        </w:tc>
        <w:tc>
          <w:tcPr>
            <w:tcW w:w="99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FHZL-03</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片</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5827</w:t>
            </w:r>
          </w:p>
        </w:tc>
        <w:tc>
          <w:tcPr>
            <w:tcW w:w="5528"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353" w:type="dxa"/>
            <w:vMerge w:val="restart"/>
            <w:tcBorders>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中铁四局蒙华铁路MHTJ-3标项目经理部各工区</w:t>
            </w:r>
          </w:p>
          <w:p>
            <w:pPr>
              <w:spacing w:line="320" w:lineRule="exact"/>
              <w:jc w:val="center"/>
              <w:rPr>
                <w:rFonts w:ascii="宋体" w:hAnsi="宋体"/>
                <w:sz w:val="20"/>
                <w:szCs w:val="20"/>
              </w:rPr>
            </w:pPr>
          </w:p>
        </w:tc>
        <w:tc>
          <w:tcPr>
            <w:tcW w:w="1164"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500</w:t>
            </w:r>
          </w:p>
        </w:tc>
        <w:tc>
          <w:tcPr>
            <w:tcW w:w="1076"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exact"/>
          <w:jc w:val="center"/>
        </w:trPr>
        <w:tc>
          <w:tcPr>
            <w:tcW w:w="45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13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钢板网螺杆、螺栓及防盗垫圈</w:t>
            </w:r>
          </w:p>
        </w:tc>
        <w:tc>
          <w:tcPr>
            <w:tcW w:w="99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31465</w:t>
            </w:r>
          </w:p>
        </w:tc>
        <w:tc>
          <w:tcPr>
            <w:tcW w:w="5528"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353" w:type="dxa"/>
            <w:vMerge w:val="continue"/>
            <w:tcBorders>
              <w:left w:val="single" w:color="auto" w:sz="4" w:space="0"/>
              <w:right w:val="single" w:color="auto" w:sz="4" w:space="0"/>
            </w:tcBorders>
            <w:vAlign w:val="center"/>
          </w:tcPr>
          <w:p>
            <w:pPr>
              <w:spacing w:line="320" w:lineRule="exact"/>
              <w:jc w:val="center"/>
              <w:rPr>
                <w:rFonts w:ascii="宋体" w:hAnsi="宋体"/>
                <w:sz w:val="20"/>
                <w:szCs w:val="20"/>
              </w:rPr>
            </w:pPr>
          </w:p>
        </w:tc>
        <w:tc>
          <w:tcPr>
            <w:tcW w:w="116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c>
          <w:tcPr>
            <w:tcW w:w="1076"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r>
    </w:tbl>
    <w:p>
      <w:pPr>
        <w:widowControl/>
        <w:jc w:val="left"/>
        <w:rPr>
          <w:rFonts w:ascii="宋体" w:hAnsi="宋体"/>
          <w:sz w:val="20"/>
          <w:szCs w:val="20"/>
        </w:rPr>
      </w:pPr>
    </w:p>
    <w:p>
      <w:pPr>
        <w:widowControl/>
        <w:jc w:val="left"/>
        <w:rPr>
          <w:rFonts w:ascii="宋体" w:hAnsi="宋体"/>
          <w:sz w:val="20"/>
          <w:szCs w:val="20"/>
        </w:rPr>
      </w:pPr>
    </w:p>
    <w:p>
      <w:pPr>
        <w:widowControl/>
        <w:jc w:val="left"/>
        <w:rPr>
          <w:rFonts w:ascii="宋体" w:hAnsi="宋体"/>
          <w:sz w:val="20"/>
          <w:szCs w:val="20"/>
        </w:rPr>
      </w:pPr>
    </w:p>
    <w:p>
      <w:pPr>
        <w:widowControl/>
        <w:jc w:val="left"/>
        <w:rPr>
          <w:rFonts w:ascii="宋体" w:hAnsi="宋体"/>
          <w:sz w:val="20"/>
          <w:szCs w:val="20"/>
        </w:rPr>
      </w:pPr>
    </w:p>
    <w:p>
      <w:pPr>
        <w:widowControl/>
        <w:jc w:val="left"/>
        <w:rPr>
          <w:rFonts w:ascii="宋体" w:hAnsi="宋体"/>
          <w:sz w:val="20"/>
          <w:szCs w:val="20"/>
        </w:rPr>
      </w:pPr>
    </w:p>
    <w:tbl>
      <w:tblPr>
        <w:tblStyle w:val="7"/>
        <w:tblW w:w="14197" w:type="dxa"/>
        <w:jc w:val="center"/>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
        <w:gridCol w:w="1276"/>
        <w:gridCol w:w="992"/>
        <w:gridCol w:w="709"/>
        <w:gridCol w:w="992"/>
        <w:gridCol w:w="5812"/>
        <w:gridCol w:w="1276"/>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blHeader/>
          <w:jc w:val="center"/>
        </w:trPr>
        <w:tc>
          <w:tcPr>
            <w:tcW w:w="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物资</w:t>
            </w:r>
          </w:p>
          <w:p>
            <w:pPr>
              <w:spacing w:line="320" w:lineRule="exact"/>
              <w:jc w:val="center"/>
              <w:rPr>
                <w:rFonts w:ascii="宋体" w:hAnsi="宋体" w:cs="宋体"/>
                <w:b/>
                <w:bCs/>
                <w:sz w:val="20"/>
                <w:szCs w:val="20"/>
              </w:rPr>
            </w:pPr>
            <w:r>
              <w:rPr>
                <w:rFonts w:hint="eastAsia" w:ascii="宋体" w:hAnsi="宋体" w:cs="宋体"/>
                <w:b/>
                <w:bCs/>
                <w:sz w:val="20"/>
                <w:szCs w:val="20"/>
              </w:rPr>
              <w:t>名称</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包件号</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计量单位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包件总量</w:t>
            </w:r>
          </w:p>
        </w:tc>
        <w:tc>
          <w:tcPr>
            <w:tcW w:w="58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投标人专用资格条件</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收货人</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b/>
                <w:bCs/>
                <w:sz w:val="20"/>
                <w:szCs w:val="20"/>
              </w:rPr>
            </w:pPr>
            <w:r>
              <w:rPr>
                <w:rFonts w:hint="eastAsia" w:ascii="宋体" w:hAnsi="宋体" w:cs="宋体"/>
                <w:b/>
                <w:bCs/>
                <w:sz w:val="20"/>
                <w:szCs w:val="20"/>
              </w:rPr>
              <w:t>招标文件售价(元)</w:t>
            </w:r>
          </w:p>
        </w:tc>
        <w:tc>
          <w:tcPr>
            <w:tcW w:w="1418" w:type="dxa"/>
            <w:tcBorders>
              <w:top w:val="single" w:color="auto" w:sz="4" w:space="0"/>
              <w:left w:val="single" w:color="auto" w:sz="4" w:space="0"/>
              <w:bottom w:val="single" w:color="auto" w:sz="4" w:space="0"/>
              <w:right w:val="single" w:color="auto" w:sz="4" w:space="0"/>
            </w:tcBorders>
          </w:tcPr>
          <w:p>
            <w:pPr>
              <w:spacing w:line="320" w:lineRule="exact"/>
              <w:jc w:val="center"/>
              <w:rPr>
                <w:rFonts w:ascii="宋体" w:hAnsi="宋体" w:cs="宋体"/>
                <w:b/>
                <w:bCs/>
                <w:sz w:val="20"/>
                <w:szCs w:val="20"/>
              </w:rPr>
            </w:pPr>
            <w:r>
              <w:rPr>
                <w:rFonts w:hint="eastAsia" w:ascii="宋体" w:hAnsi="宋体" w:cs="宋体"/>
                <w:b/>
                <w:bCs/>
                <w:sz w:val="20"/>
                <w:szCs w:val="20"/>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exact"/>
          <w:jc w:val="center"/>
        </w:trPr>
        <w:tc>
          <w:tcPr>
            <w:tcW w:w="447"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预应力钢棒</w:t>
            </w:r>
          </w:p>
        </w:tc>
        <w:tc>
          <w:tcPr>
            <w:tcW w:w="992"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GB-01</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吨</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115</w:t>
            </w:r>
          </w:p>
        </w:tc>
        <w:tc>
          <w:tcPr>
            <w:tcW w:w="5812" w:type="dxa"/>
            <w:vMerge w:val="restart"/>
            <w:tcBorders>
              <w:left w:val="single" w:color="auto" w:sz="4" w:space="0"/>
              <w:right w:val="single" w:color="auto" w:sz="4" w:space="0"/>
            </w:tcBorders>
            <w:vAlign w:val="center"/>
          </w:tcPr>
          <w:p>
            <w:pPr>
              <w:spacing w:line="360" w:lineRule="exact"/>
              <w:rPr>
                <w:rFonts w:ascii="宋体" w:hAnsi="宋体"/>
                <w:color w:val="000000"/>
                <w:sz w:val="20"/>
                <w:szCs w:val="20"/>
              </w:rPr>
            </w:pPr>
            <w:r>
              <w:rPr>
                <w:rFonts w:hint="eastAsia" w:ascii="宋体" w:hAnsi="宋体"/>
                <w:sz w:val="19"/>
                <w:szCs w:val="19"/>
              </w:rPr>
              <w:t>1.</w:t>
            </w:r>
            <w:r>
              <w:rPr>
                <w:rFonts w:hint="eastAsia" w:ascii="宋体" w:hAnsi="宋体"/>
                <w:color w:val="000000"/>
                <w:sz w:val="20"/>
                <w:szCs w:val="20"/>
              </w:rPr>
              <w:t xml:space="preserve"> 代理商可以代理多个厂家的产品参与投标，但必须具有满足本资格条件要求的生产厂出具的对投标包件的唯一授权函，生产厂不得与其授权的代理商在同一包件中投标；生产厂或代理商应具备跨地域供应、集散能力。</w:t>
            </w:r>
          </w:p>
          <w:p>
            <w:pPr>
              <w:wordWrap w:val="0"/>
              <w:spacing w:line="360" w:lineRule="auto"/>
              <w:rPr>
                <w:rFonts w:ascii="宋体" w:hAnsi="宋体"/>
                <w:sz w:val="20"/>
                <w:szCs w:val="20"/>
              </w:rPr>
            </w:pPr>
            <w:r>
              <w:rPr>
                <w:rFonts w:hint="eastAsia" w:ascii="宋体" w:hAnsi="宋体"/>
                <w:sz w:val="19"/>
                <w:szCs w:val="19"/>
              </w:rPr>
              <w:t xml:space="preserve">2. </w:t>
            </w:r>
            <w:r>
              <w:rPr>
                <w:rFonts w:ascii="宋体" w:hAnsi="宋体"/>
                <w:sz w:val="20"/>
                <w:szCs w:val="21"/>
              </w:rPr>
              <w:t>生产能力要求：投标产品生产商须具备</w:t>
            </w:r>
            <w:r>
              <w:rPr>
                <w:rFonts w:hint="eastAsia" w:ascii="宋体" w:hAnsi="宋体" w:cs="宋体"/>
                <w:sz w:val="20"/>
                <w:szCs w:val="20"/>
              </w:rPr>
              <w:t>预应力钢棒</w:t>
            </w:r>
            <w:r>
              <w:rPr>
                <w:rFonts w:ascii="宋体" w:hAnsi="宋体"/>
                <w:sz w:val="20"/>
                <w:szCs w:val="21"/>
              </w:rPr>
              <w:t>年产不低于</w:t>
            </w:r>
            <w:r>
              <w:rPr>
                <w:rFonts w:hint="eastAsia" w:ascii="宋体" w:hAnsi="宋体"/>
                <w:sz w:val="20"/>
                <w:szCs w:val="20"/>
              </w:rPr>
              <w:t>500吨</w:t>
            </w:r>
            <w:r>
              <w:rPr>
                <w:rFonts w:ascii="宋体" w:hAnsi="宋体"/>
                <w:sz w:val="20"/>
                <w:szCs w:val="21"/>
              </w:rPr>
              <w:t>的生产能力，且拥有相应的配套生产、检测设备。</w:t>
            </w:r>
          </w:p>
          <w:p>
            <w:pPr>
              <w:wordWrap w:val="0"/>
              <w:spacing w:line="360" w:lineRule="auto"/>
              <w:rPr>
                <w:rFonts w:ascii="宋体" w:hAnsi="宋体"/>
                <w:sz w:val="20"/>
                <w:szCs w:val="20"/>
              </w:rPr>
            </w:pPr>
            <w:r>
              <w:rPr>
                <w:rFonts w:hint="eastAsia" w:ascii="宋体" w:hAnsi="宋体"/>
                <w:sz w:val="20"/>
                <w:szCs w:val="20"/>
              </w:rPr>
              <w:t>3.</w:t>
            </w:r>
            <w:r>
              <w:rPr>
                <w:rFonts w:hint="eastAsia" w:ascii="宋体" w:hAnsi="宋体"/>
                <w:color w:val="000000"/>
                <w:sz w:val="20"/>
                <w:szCs w:val="20"/>
              </w:rPr>
              <w:t xml:space="preserve"> 财务能力要求：代理商或厂家注册资金不低于500万人民币，资金财务状况良好，具有近两年经会计师事务所或审计机构审计的财务会计报表。</w:t>
            </w:r>
          </w:p>
          <w:p>
            <w:pPr>
              <w:spacing w:line="360" w:lineRule="exact"/>
              <w:rPr>
                <w:rFonts w:ascii="宋体" w:hAnsi="宋体"/>
                <w:color w:val="000000"/>
                <w:sz w:val="20"/>
                <w:szCs w:val="20"/>
              </w:rPr>
            </w:pPr>
          </w:p>
        </w:tc>
        <w:tc>
          <w:tcPr>
            <w:tcW w:w="1276" w:type="dxa"/>
            <w:vMerge w:val="restart"/>
            <w:tcBorders>
              <w:top w:val="single" w:color="auto" w:sz="4" w:space="0"/>
              <w:left w:val="single" w:color="auto" w:sz="4" w:space="0"/>
              <w:right w:val="single" w:color="auto" w:sz="4" w:space="0"/>
            </w:tcBorders>
            <w:vAlign w:val="center"/>
          </w:tcPr>
          <w:p>
            <w:pPr>
              <w:spacing w:line="320" w:lineRule="exact"/>
              <w:rPr>
                <w:rFonts w:ascii="宋体" w:hAnsi="宋体"/>
                <w:sz w:val="20"/>
                <w:szCs w:val="20"/>
              </w:rPr>
            </w:pPr>
            <w:r>
              <w:rPr>
                <w:rFonts w:hint="eastAsia" w:ascii="宋体" w:hAnsi="宋体"/>
                <w:sz w:val="20"/>
                <w:szCs w:val="20"/>
              </w:rPr>
              <w:t>中铁四局蒙华铁路MHTJ-3标项目经理部各工区</w:t>
            </w:r>
          </w:p>
          <w:p>
            <w:pPr>
              <w:spacing w:line="320" w:lineRule="exact"/>
              <w:jc w:val="center"/>
              <w:rPr>
                <w:rFonts w:ascii="宋体" w:hAnsi="宋体"/>
                <w:sz w:val="20"/>
                <w:szCs w:val="20"/>
              </w:rPr>
            </w:pPr>
          </w:p>
        </w:tc>
        <w:tc>
          <w:tcPr>
            <w:tcW w:w="127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sz w:val="20"/>
                <w:szCs w:val="20"/>
              </w:rPr>
            </w:pPr>
            <w:r>
              <w:rPr>
                <w:rFonts w:hint="eastAsia" w:ascii="宋体" w:hAnsi="宋体"/>
                <w:sz w:val="20"/>
                <w:szCs w:val="20"/>
              </w:rPr>
              <w:t>500</w:t>
            </w:r>
          </w:p>
        </w:tc>
        <w:tc>
          <w:tcPr>
            <w:tcW w:w="1418" w:type="dxa"/>
            <w:vMerge w:val="restart"/>
            <w:tcBorders>
              <w:top w:val="single" w:color="auto" w:sz="4" w:space="0"/>
              <w:left w:val="single" w:color="auto" w:sz="4" w:space="0"/>
              <w:right w:val="single" w:color="auto" w:sz="4" w:space="0"/>
            </w:tcBorders>
          </w:tcPr>
          <w:p>
            <w:pPr>
              <w:spacing w:line="320" w:lineRule="exact"/>
              <w:jc w:val="center"/>
              <w:rPr>
                <w:rFonts w:ascii="宋体" w:hAnsi="宋体"/>
                <w:sz w:val="20"/>
                <w:szCs w:val="20"/>
              </w:rPr>
            </w:pPr>
          </w:p>
          <w:p>
            <w:pPr>
              <w:spacing w:line="320" w:lineRule="exact"/>
              <w:jc w:val="center"/>
              <w:rPr>
                <w:rFonts w:ascii="宋体" w:hAnsi="宋体"/>
                <w:sz w:val="20"/>
                <w:szCs w:val="20"/>
              </w:rPr>
            </w:pPr>
          </w:p>
          <w:p>
            <w:pPr>
              <w:spacing w:line="320" w:lineRule="exact"/>
              <w:jc w:val="center"/>
              <w:rPr>
                <w:rFonts w:ascii="宋体" w:hAnsi="宋体"/>
                <w:sz w:val="20"/>
                <w:szCs w:val="20"/>
              </w:rPr>
            </w:pPr>
          </w:p>
          <w:p>
            <w:pPr>
              <w:spacing w:line="320" w:lineRule="exact"/>
              <w:jc w:val="center"/>
              <w:rPr>
                <w:rFonts w:ascii="宋体" w:hAnsi="宋体"/>
                <w:sz w:val="20"/>
                <w:szCs w:val="20"/>
              </w:rPr>
            </w:pPr>
          </w:p>
          <w:p>
            <w:pPr>
              <w:spacing w:line="320" w:lineRule="exact"/>
              <w:jc w:val="center"/>
              <w:rPr>
                <w:rFonts w:ascii="宋体" w:hAnsi="宋体"/>
                <w:sz w:val="20"/>
                <w:szCs w:val="20"/>
              </w:rPr>
            </w:pPr>
          </w:p>
          <w:p>
            <w:pPr>
              <w:spacing w:line="320" w:lineRule="exact"/>
              <w:ind w:firstLine="500" w:firstLineChars="250"/>
              <w:rPr>
                <w:rFonts w:ascii="宋体" w:hAnsi="宋体"/>
                <w:sz w:val="20"/>
                <w:szCs w:val="20"/>
              </w:rPr>
            </w:pPr>
            <w:r>
              <w:rPr>
                <w:rFonts w:hint="eastAsia" w:ascii="宋体" w:hAnsi="宋体"/>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exact"/>
          <w:jc w:val="center"/>
        </w:trPr>
        <w:tc>
          <w:tcPr>
            <w:tcW w:w="447" w:type="dxa"/>
            <w:vMerge w:val="continue"/>
            <w:tcBorders>
              <w:left w:val="single" w:color="auto" w:sz="4" w:space="0"/>
              <w:right w:val="single" w:color="auto" w:sz="4" w:space="0"/>
            </w:tcBorders>
            <w:vAlign w:val="center"/>
          </w:tcPr>
          <w:p>
            <w:pPr>
              <w:spacing w:line="320" w:lineRule="exact"/>
              <w:jc w:val="center"/>
              <w:rPr>
                <w:rFonts w:ascii="宋体" w:hAnsi="宋体" w:cs="宋体"/>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预应力钢棒垫片及螺帽</w:t>
            </w:r>
          </w:p>
        </w:tc>
        <w:tc>
          <w:tcPr>
            <w:tcW w:w="99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套</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0"/>
                <w:szCs w:val="20"/>
              </w:rPr>
            </w:pPr>
            <w:r>
              <w:rPr>
                <w:rFonts w:hint="eastAsia" w:ascii="宋体" w:hAnsi="宋体" w:cs="宋体"/>
                <w:sz w:val="20"/>
                <w:szCs w:val="20"/>
              </w:rPr>
              <w:t>21072</w:t>
            </w:r>
          </w:p>
        </w:tc>
        <w:tc>
          <w:tcPr>
            <w:tcW w:w="5812" w:type="dxa"/>
            <w:vMerge w:val="continue"/>
            <w:tcBorders>
              <w:left w:val="single" w:color="auto" w:sz="4" w:space="0"/>
              <w:right w:val="single" w:color="auto" w:sz="4" w:space="0"/>
            </w:tcBorders>
            <w:vAlign w:val="center"/>
          </w:tcPr>
          <w:p>
            <w:pPr>
              <w:spacing w:line="360" w:lineRule="exact"/>
              <w:rPr>
                <w:rFonts w:ascii="宋体" w:hAnsi="宋体"/>
                <w:color w:val="000000"/>
                <w:sz w:val="20"/>
                <w:szCs w:val="20"/>
              </w:rPr>
            </w:pPr>
          </w:p>
        </w:tc>
        <w:tc>
          <w:tcPr>
            <w:tcW w:w="1276" w:type="dxa"/>
            <w:vMerge w:val="continue"/>
            <w:tcBorders>
              <w:left w:val="single" w:color="auto" w:sz="4" w:space="0"/>
              <w:right w:val="single" w:color="auto" w:sz="4" w:space="0"/>
            </w:tcBorders>
            <w:vAlign w:val="center"/>
          </w:tcPr>
          <w:p>
            <w:pPr>
              <w:spacing w:line="320" w:lineRule="exact"/>
              <w:jc w:val="center"/>
              <w:rPr>
                <w:rFonts w:ascii="宋体" w:hAnsi="宋体"/>
                <w:sz w:val="20"/>
                <w:szCs w:val="20"/>
              </w:rPr>
            </w:pPr>
          </w:p>
        </w:tc>
        <w:tc>
          <w:tcPr>
            <w:tcW w:w="1275"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sz w:val="20"/>
                <w:szCs w:val="20"/>
              </w:rPr>
            </w:pPr>
          </w:p>
        </w:tc>
        <w:tc>
          <w:tcPr>
            <w:tcW w:w="1418" w:type="dxa"/>
            <w:vMerge w:val="continue"/>
            <w:tcBorders>
              <w:left w:val="single" w:color="auto" w:sz="4" w:space="0"/>
              <w:bottom w:val="single" w:color="auto" w:sz="4" w:space="0"/>
              <w:right w:val="single" w:color="auto" w:sz="4" w:space="0"/>
            </w:tcBorders>
          </w:tcPr>
          <w:p>
            <w:pPr>
              <w:spacing w:line="320" w:lineRule="exact"/>
              <w:jc w:val="center"/>
              <w:rPr>
                <w:rFonts w:ascii="宋体" w:hAnsi="宋体"/>
                <w:sz w:val="20"/>
                <w:szCs w:val="20"/>
              </w:rPr>
            </w:pPr>
          </w:p>
        </w:tc>
      </w:tr>
    </w:tbl>
    <w:p>
      <w:pPr>
        <w:widowControl/>
        <w:jc w:val="left"/>
        <w:rPr>
          <w:rFonts w:ascii="宋体" w:hAnsi="宋体"/>
          <w:sz w:val="20"/>
          <w:szCs w:val="20"/>
        </w:rPr>
        <w:sectPr>
          <w:pgSz w:w="16838" w:h="11906" w:orient="landscape"/>
          <w:pgMar w:top="1418" w:right="1418" w:bottom="1418" w:left="1418" w:header="851" w:footer="851" w:gutter="0"/>
          <w:cols w:space="720" w:num="1"/>
        </w:sectPr>
      </w:pPr>
      <w:r>
        <w:rPr>
          <w:rFonts w:hint="eastAsia" w:ascii="宋体" w:hAnsi="宋体"/>
          <w:sz w:val="20"/>
          <w:szCs w:val="20"/>
        </w:rPr>
        <w:t>注：招标物资的具体规格，交货地点，需求时间详见招标文件</w:t>
      </w:r>
    </w:p>
    <w:p>
      <w:pPr>
        <w:pStyle w:val="2"/>
        <w:rPr>
          <w:kern w:val="0"/>
          <w:sz w:val="22"/>
          <w:szCs w:val="22"/>
        </w:rPr>
      </w:pPr>
      <w:bookmarkStart w:id="24" w:name="_Toc27159"/>
      <w:bookmarkStart w:id="25" w:name="_Toc455644139"/>
      <w:r>
        <w:rPr>
          <w:rFonts w:hint="eastAsia"/>
          <w:sz w:val="22"/>
          <w:szCs w:val="22"/>
        </w:rPr>
        <w:t>附表2</w:t>
      </w:r>
      <w:bookmarkEnd w:id="22"/>
      <w:bookmarkEnd w:id="23"/>
      <w:bookmarkEnd w:id="24"/>
      <w:bookmarkEnd w:id="25"/>
      <w:r>
        <w:rPr>
          <w:rFonts w:hint="eastAsia"/>
          <w:kern w:val="0"/>
          <w:sz w:val="22"/>
          <w:szCs w:val="22"/>
        </w:rPr>
        <w:t xml:space="preserve"> </w:t>
      </w:r>
    </w:p>
    <w:p>
      <w:pPr>
        <w:spacing w:line="440" w:lineRule="exact"/>
        <w:jc w:val="center"/>
        <w:rPr>
          <w:rFonts w:ascii="宋体" w:hAnsi="宋体"/>
          <w:b/>
          <w:sz w:val="26"/>
          <w:szCs w:val="26"/>
        </w:rPr>
      </w:pPr>
      <w:r>
        <w:rPr>
          <w:rFonts w:hint="eastAsia" w:ascii="宋体" w:hAnsi="宋体"/>
          <w:b/>
          <w:sz w:val="26"/>
          <w:szCs w:val="26"/>
        </w:rPr>
        <w:t>投 标 申 请 表</w:t>
      </w:r>
    </w:p>
    <w:p>
      <w:pPr>
        <w:spacing w:line="440" w:lineRule="exact"/>
        <w:jc w:val="center"/>
        <w:rPr>
          <w:rFonts w:ascii="宋体" w:hAnsi="宋体"/>
          <w:b/>
          <w:sz w:val="26"/>
          <w:szCs w:val="26"/>
        </w:rPr>
      </w:pPr>
    </w:p>
    <w:p>
      <w:pPr>
        <w:widowControl/>
        <w:spacing w:line="440" w:lineRule="exact"/>
        <w:ind w:firstLine="163" w:firstLineChars="74"/>
        <w:jc w:val="left"/>
        <w:rPr>
          <w:rFonts w:ascii="宋体" w:hAnsi="宋体" w:cs="宋体"/>
          <w:b/>
          <w:bCs/>
          <w:kern w:val="0"/>
          <w:sz w:val="22"/>
          <w:szCs w:val="22"/>
        </w:rPr>
      </w:pPr>
      <w:r>
        <w:rPr>
          <w:rFonts w:hint="eastAsia" w:ascii="宋体" w:hAnsi="宋体" w:cs="宋体"/>
          <w:b/>
          <w:kern w:val="0"/>
          <w:sz w:val="22"/>
          <w:szCs w:val="22"/>
        </w:rPr>
        <w:t>招标编号</w:t>
      </w:r>
      <w:r>
        <w:rPr>
          <w:rFonts w:hint="eastAsia" w:ascii="宋体" w:hAnsi="宋体" w:cs="宋体"/>
          <w:b/>
          <w:color w:val="000000"/>
          <w:kern w:val="0"/>
          <w:sz w:val="22"/>
          <w:szCs w:val="22"/>
        </w:rPr>
        <w:t>：CTCE4C-WZCG-2018004</w:t>
      </w:r>
    </w:p>
    <w:tbl>
      <w:tblPr>
        <w:tblStyle w:val="7"/>
        <w:tblW w:w="8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549"/>
        <w:gridCol w:w="1767"/>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投标项目名称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kern w:val="0"/>
                <w:sz w:val="22"/>
                <w:szCs w:val="22"/>
              </w:rPr>
            </w:pPr>
            <w:r>
              <w:rPr>
                <w:rFonts w:hint="eastAsia" w:hAnsi="宋体"/>
                <w:bCs/>
                <w:color w:val="000000"/>
                <w:sz w:val="22"/>
                <w:szCs w:val="22"/>
              </w:rPr>
              <w:t>中铁四局集团蒙华铁路MHTJ-3标项目物资集中招标采购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投标人名称</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投标人联系地址</w:t>
            </w:r>
          </w:p>
        </w:tc>
        <w:tc>
          <w:tcPr>
            <w:tcW w:w="6687"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法定代表人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法人委托人</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投标联系人</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联系电话</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传真</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c>
          <w:tcPr>
            <w:tcW w:w="176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r>
              <w:rPr>
                <w:rFonts w:hint="eastAsia" w:ascii="宋体" w:hAnsi="宋体" w:cs="宋体"/>
                <w:kern w:val="0"/>
                <w:sz w:val="22"/>
                <w:szCs w:val="22"/>
              </w:rPr>
              <w:t>电子邮箱</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2" w:hRule="atLeast"/>
          <w:jc w:val="center"/>
        </w:trPr>
        <w:tc>
          <w:tcPr>
            <w:tcW w:w="878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
                <w:kern w:val="0"/>
                <w:sz w:val="22"/>
                <w:szCs w:val="22"/>
              </w:rPr>
            </w:pPr>
            <w:r>
              <w:rPr>
                <w:rFonts w:hint="eastAsia" w:ascii="宋体" w:hAnsi="宋体" w:cs="宋体"/>
                <w:b/>
                <w:kern w:val="0"/>
                <w:sz w:val="22"/>
                <w:szCs w:val="22"/>
              </w:rPr>
              <w:t xml:space="preserve">1.申请投标包件：  </w:t>
            </w: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r>
              <w:rPr>
                <w:rFonts w:hint="eastAsia" w:ascii="宋体" w:hAnsi="宋体" w:cs="宋体"/>
                <w:b/>
                <w:kern w:val="0"/>
                <w:sz w:val="22"/>
                <w:szCs w:val="22"/>
              </w:rPr>
              <w:t>2.其它说明：</w:t>
            </w: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p>
          <w:p>
            <w:pPr>
              <w:widowControl/>
              <w:spacing w:line="440" w:lineRule="exact"/>
              <w:rPr>
                <w:rFonts w:ascii="宋体" w:hAnsi="宋体" w:cs="宋体"/>
                <w:b/>
                <w:kern w:val="0"/>
                <w:sz w:val="22"/>
                <w:szCs w:val="22"/>
              </w:rPr>
            </w:pPr>
          </w:p>
          <w:p>
            <w:pPr>
              <w:widowControl/>
              <w:spacing w:line="440" w:lineRule="exact"/>
              <w:ind w:right="480" w:firstLine="4762" w:firstLineChars="2156"/>
              <w:rPr>
                <w:rFonts w:ascii="宋体" w:hAnsi="宋体" w:cs="宋体"/>
                <w:b/>
                <w:kern w:val="0"/>
                <w:sz w:val="22"/>
                <w:szCs w:val="22"/>
              </w:rPr>
            </w:pPr>
            <w:r>
              <w:rPr>
                <w:rFonts w:hint="eastAsia" w:ascii="宋体" w:hAnsi="宋体" w:cs="宋体"/>
                <w:b/>
                <w:kern w:val="0"/>
                <w:sz w:val="22"/>
                <w:szCs w:val="22"/>
              </w:rPr>
              <w:t>投标人（公章）</w:t>
            </w:r>
          </w:p>
          <w:p>
            <w:pPr>
              <w:widowControl/>
              <w:spacing w:line="440" w:lineRule="exact"/>
              <w:rPr>
                <w:rFonts w:ascii="宋体" w:hAnsi="宋体" w:cs="宋体"/>
                <w:b/>
                <w:kern w:val="0"/>
                <w:sz w:val="22"/>
                <w:szCs w:val="22"/>
              </w:rPr>
            </w:pPr>
            <w:r>
              <w:rPr>
                <w:rFonts w:hint="eastAsia" w:ascii="宋体" w:hAnsi="宋体" w:cs="宋体"/>
                <w:b/>
                <w:kern w:val="0"/>
                <w:sz w:val="22"/>
                <w:szCs w:val="22"/>
              </w:rPr>
              <w:t xml:space="preserve">                                            </w:t>
            </w:r>
          </w:p>
          <w:p>
            <w:pPr>
              <w:widowControl/>
              <w:spacing w:line="440" w:lineRule="exact"/>
              <w:ind w:firstLine="4748" w:firstLineChars="2150"/>
              <w:rPr>
                <w:rFonts w:ascii="宋体" w:hAnsi="宋体" w:cs="宋体"/>
                <w:b/>
                <w:kern w:val="0"/>
                <w:sz w:val="22"/>
                <w:szCs w:val="22"/>
              </w:rPr>
            </w:pPr>
            <w:r>
              <w:rPr>
                <w:rFonts w:hint="eastAsia" w:ascii="宋体" w:hAnsi="宋体" w:cs="宋体"/>
                <w:b/>
                <w:kern w:val="0"/>
                <w:sz w:val="22"/>
                <w:szCs w:val="22"/>
              </w:rPr>
              <w:t>年    月    日</w:t>
            </w:r>
          </w:p>
          <w:p>
            <w:pPr>
              <w:widowControl/>
              <w:spacing w:line="440" w:lineRule="exact"/>
              <w:ind w:firstLine="4748" w:firstLineChars="2150"/>
              <w:rPr>
                <w:rFonts w:ascii="宋体" w:hAnsi="宋体" w:cs="宋体"/>
                <w:b/>
                <w:kern w:val="0"/>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522DF"/>
    <w:rsid w:val="171628C1"/>
    <w:rsid w:val="27CA2953"/>
    <w:rsid w:val="368522D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qFormat/>
    <w:uiPriority w:val="0"/>
    <w:pPr>
      <w:keepNext/>
      <w:keepLines/>
      <w:snapToGrid w:val="0"/>
      <w:spacing w:line="360" w:lineRule="auto"/>
      <w:outlineLvl w:val="1"/>
    </w:pPr>
    <w:rPr>
      <w:rFonts w:ascii="宋体" w:hAnsi="宋体"/>
      <w:b/>
      <w:bCs/>
      <w:sz w:val="24"/>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3"/>
    <w:basedOn w:val="1"/>
    <w:qFormat/>
    <w:uiPriority w:val="0"/>
    <w:rPr>
      <w:rFonts w:ascii="宋体"/>
      <w:sz w:val="24"/>
      <w:szCs w:val="20"/>
    </w:rPr>
  </w:style>
  <w:style w:type="paragraph" w:styleId="4">
    <w:name w:val="Body Text Indent 2"/>
    <w:basedOn w:val="1"/>
    <w:unhideWhenUsed/>
    <w:qFormat/>
    <w:uiPriority w:val="99"/>
    <w:pPr>
      <w:spacing w:after="120" w:line="480" w:lineRule="auto"/>
      <w:ind w:left="420" w:leftChars="200"/>
    </w:pPr>
  </w:style>
  <w:style w:type="character" w:styleId="6">
    <w:name w:val="Hyperlink"/>
    <w:qFormat/>
    <w:uiPriority w:val="99"/>
    <w:rPr>
      <w:rFonts w:cs="Times New Roman"/>
      <w:color w:val="0000FF"/>
      <w:u w:val="single"/>
    </w:rPr>
  </w:style>
  <w:style w:type="character" w:customStyle="1" w:styleId="8">
    <w:name w:val="标题 2 Char1"/>
    <w:link w:val="2"/>
    <w:qFormat/>
    <w:locked/>
    <w:uiPriority w:val="0"/>
    <w:rPr>
      <w:rFonts w:ascii="宋体" w:hAnsi="宋体"/>
      <w:b/>
      <w:bCs/>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2018-04-19T02:38:00Z</dcterms:created>
  <dc:creator>∥:路亽曱</dc:creator>
  <cp:lastModifiedBy>∥:路亽曱</cp:lastModifiedBy>
  <dcterms:modified xsi:type="dcterms:W3CDTF">2018-04-19T02:46:28Z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