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b/>
          <w:sz w:val="28"/>
          <w:szCs w:val="28"/>
        </w:rPr>
      </w:pPr>
      <w:bookmarkStart w:id="0" w:name="_Toc432066423"/>
      <w:r>
        <w:rPr>
          <w:rFonts w:hint="eastAsia"/>
          <w:b/>
          <w:sz w:val="28"/>
          <w:szCs w:val="28"/>
        </w:rPr>
        <w:t>中铁四局集团第四工程有限公司物资管理中心</w:t>
      </w:r>
    </w:p>
    <w:p>
      <w:pPr>
        <w:adjustRightInd w:val="0"/>
        <w:snapToGrid w:val="0"/>
        <w:spacing w:line="500" w:lineRule="exact"/>
        <w:jc w:val="center"/>
        <w:rPr>
          <w:b/>
          <w:sz w:val="28"/>
          <w:szCs w:val="28"/>
        </w:rPr>
      </w:pPr>
      <w:r>
        <w:rPr>
          <w:rFonts w:hint="eastAsia"/>
          <w:b/>
          <w:sz w:val="28"/>
          <w:szCs w:val="28"/>
        </w:rPr>
        <w:t>盘扣式脚手架竞争性谈判公告</w:t>
      </w:r>
    </w:p>
    <w:p>
      <w:pPr>
        <w:tabs>
          <w:tab w:val="left" w:pos="4065"/>
        </w:tabs>
        <w:snapToGrid w:val="0"/>
        <w:spacing w:beforeLines="50" w:afterLines="50"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rPr>
        <w:t>文件编号：</w:t>
      </w:r>
      <w:r>
        <w:rPr>
          <w:rFonts w:hint="eastAsia" w:ascii="宋体" w:hAnsi="宋体" w:cs="宋体"/>
          <w:color w:val="000000"/>
          <w:sz w:val="24"/>
          <w:lang w:eastAsia="zh-CN"/>
        </w:rPr>
        <w:t>ZTSJSGS-TPCG01800</w:t>
      </w:r>
      <w:r>
        <w:rPr>
          <w:rFonts w:hint="eastAsia" w:ascii="宋体" w:hAnsi="宋体" w:cs="宋体"/>
          <w:color w:val="000000"/>
          <w:sz w:val="24"/>
          <w:lang w:val="en-US" w:eastAsia="zh-CN"/>
        </w:rPr>
        <w:t>6</w:t>
      </w:r>
    </w:p>
    <w:p>
      <w:pPr>
        <w:widowControl/>
        <w:shd w:val="clear" w:color="auto" w:fill="FFFFFF"/>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根据股份公司、集团公司及公司物资采购管理规定，为了满足施工生产需要，提高采购效率，特组织本次盘扣式脚手架采购竞争性谈判。本次组织单位中铁四局集团第四工程有限公司，采购单位为中铁四局集团第四公司物资管理中心。现对本次盘扣式脚手架采购进行竞争性谈判，诚邀贵单位届时前来参加。</w:t>
      </w:r>
    </w:p>
    <w:p>
      <w:pPr>
        <w:pStyle w:val="2"/>
        <w:rPr>
          <w:rFonts w:asciiTheme="minorEastAsia" w:hAnsiTheme="minorEastAsia" w:cstheme="minorEastAsia"/>
          <w:sz w:val="21"/>
          <w:szCs w:val="21"/>
        </w:rPr>
      </w:pPr>
      <w:bookmarkStart w:id="1" w:name="_Toc25136"/>
      <w:r>
        <w:rPr>
          <w:rFonts w:hint="eastAsia" w:asciiTheme="minorEastAsia" w:hAnsiTheme="minorEastAsia" w:cstheme="minorEastAsia"/>
          <w:sz w:val="21"/>
          <w:szCs w:val="21"/>
        </w:rPr>
        <w:t>1.采购单位概况与竞争性谈判内容</w:t>
      </w:r>
      <w:bookmarkEnd w:id="1"/>
    </w:p>
    <w:p>
      <w:pPr>
        <w:spacing w:line="360" w:lineRule="auto"/>
        <w:ind w:firstLine="422" w:firstLineChars="200"/>
        <w:rPr>
          <w:rFonts w:asciiTheme="minorEastAsia" w:hAnsiTheme="minorEastAsia" w:cstheme="minorEastAsia"/>
          <w:szCs w:val="21"/>
        </w:rPr>
      </w:pPr>
      <w:bookmarkStart w:id="2" w:name="_Toc448788406"/>
      <w:bookmarkStart w:id="3" w:name="_Toc457296507"/>
      <w:bookmarkStart w:id="4" w:name="_Toc316"/>
      <w:bookmarkStart w:id="5" w:name="_Toc10578"/>
      <w:bookmarkStart w:id="6" w:name="_Toc13364"/>
      <w:bookmarkStart w:id="7" w:name="_Toc18130"/>
      <w:bookmarkStart w:id="8" w:name="_Toc26119"/>
      <w:r>
        <w:rPr>
          <w:rStyle w:val="7"/>
          <w:rFonts w:hint="eastAsia" w:asciiTheme="minorEastAsia" w:hAnsiTheme="minorEastAsia" w:cstheme="minorEastAsia"/>
          <w:sz w:val="21"/>
          <w:szCs w:val="21"/>
        </w:rPr>
        <w:t>1.1</w:t>
      </w:r>
      <w:bookmarkEnd w:id="2"/>
      <w:bookmarkEnd w:id="3"/>
      <w:r>
        <w:rPr>
          <w:rStyle w:val="7"/>
          <w:rFonts w:hint="eastAsia" w:asciiTheme="minorEastAsia" w:hAnsiTheme="minorEastAsia" w:cstheme="minorEastAsia"/>
          <w:sz w:val="21"/>
          <w:szCs w:val="21"/>
        </w:rPr>
        <w:t>采购单位概况</w:t>
      </w:r>
      <w:bookmarkEnd w:id="4"/>
      <w:bookmarkEnd w:id="5"/>
      <w:bookmarkEnd w:id="6"/>
      <w:bookmarkEnd w:id="7"/>
      <w:bookmarkEnd w:id="8"/>
      <w:r>
        <w:rPr>
          <w:rFonts w:hint="eastAsia" w:asciiTheme="minorEastAsia" w:hAnsiTheme="minorEastAsia" w:cstheme="minorEastAsia"/>
          <w:szCs w:val="21"/>
        </w:rPr>
        <w:t>：</w:t>
      </w:r>
    </w:p>
    <w:p>
      <w:pPr>
        <w:widowControl/>
        <w:spacing w:line="360" w:lineRule="auto"/>
        <w:ind w:firstLine="480"/>
        <w:jc w:val="left"/>
        <w:rPr>
          <w:rFonts w:ascii="宋体" w:hAnsi="宋体"/>
          <w:szCs w:val="21"/>
        </w:rPr>
      </w:pPr>
      <w:bookmarkStart w:id="9" w:name="_Toc25928"/>
      <w:bookmarkStart w:id="10" w:name="_Toc457296508"/>
      <w:bookmarkStart w:id="11" w:name="_Toc14718"/>
      <w:bookmarkStart w:id="12" w:name="_Toc5645"/>
      <w:bookmarkStart w:id="13" w:name="_Toc24644"/>
      <w:bookmarkStart w:id="14" w:name="_Toc12172"/>
      <w:r>
        <w:rPr>
          <w:rFonts w:hint="eastAsia" w:ascii="宋体" w:hAnsi="宋体"/>
          <w:szCs w:val="21"/>
        </w:rPr>
        <w:t>中铁四局集团第四工程有限公司物资管理中心是以周转材料租赁、采购、供应为主的专业单位，下设“四室两库”，经营品种有碗扣式、轮扣式盘扣式脚手架、工字钢、贝雷梁、钢支撑、钢围檩等周转材料15000余吨。</w:t>
      </w:r>
    </w:p>
    <w:p>
      <w:pPr>
        <w:adjustRightInd w:val="0"/>
        <w:snapToGrid w:val="0"/>
        <w:spacing w:line="360" w:lineRule="auto"/>
        <w:ind w:right="-17" w:rightChars="-8" w:firstLine="422" w:firstLineChars="200"/>
        <w:rPr>
          <w:rFonts w:asciiTheme="minorEastAsia" w:hAnsiTheme="minorEastAsia" w:cstheme="minorEastAsia"/>
          <w:kern w:val="0"/>
          <w:szCs w:val="21"/>
        </w:rPr>
      </w:pPr>
      <w:r>
        <w:rPr>
          <w:rStyle w:val="7"/>
          <w:rFonts w:hint="eastAsia" w:asciiTheme="minorEastAsia" w:hAnsiTheme="minorEastAsia" w:cstheme="minorEastAsia"/>
          <w:sz w:val="21"/>
          <w:szCs w:val="21"/>
        </w:rPr>
        <w:t>1.2</w:t>
      </w:r>
      <w:bookmarkEnd w:id="9"/>
      <w:bookmarkEnd w:id="10"/>
      <w:r>
        <w:rPr>
          <w:rStyle w:val="7"/>
          <w:rFonts w:hint="eastAsia" w:asciiTheme="minorEastAsia" w:hAnsiTheme="minorEastAsia" w:cstheme="minorEastAsia"/>
          <w:sz w:val="21"/>
          <w:szCs w:val="21"/>
        </w:rPr>
        <w:t>合作期限</w:t>
      </w:r>
      <w:bookmarkEnd w:id="11"/>
      <w:r>
        <w:rPr>
          <w:rFonts w:hint="eastAsia" w:asciiTheme="minorEastAsia" w:hAnsiTheme="minorEastAsia" w:cstheme="minorEastAsia"/>
          <w:szCs w:val="21"/>
        </w:rPr>
        <w:t>：</w:t>
      </w:r>
      <w:bookmarkEnd w:id="12"/>
      <w:bookmarkEnd w:id="13"/>
      <w:bookmarkEnd w:id="14"/>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2018年5月份~2018年 12月份</w:t>
      </w:r>
    </w:p>
    <w:p>
      <w:pPr>
        <w:spacing w:line="360" w:lineRule="auto"/>
        <w:ind w:firstLine="422" w:firstLineChars="200"/>
        <w:rPr>
          <w:rFonts w:asciiTheme="minorEastAsia" w:hAnsiTheme="minorEastAsia" w:cstheme="minorEastAsia"/>
          <w:szCs w:val="21"/>
        </w:rPr>
      </w:pPr>
      <w:bookmarkStart w:id="15" w:name="_Toc9338"/>
      <w:r>
        <w:rPr>
          <w:rStyle w:val="7"/>
          <w:rFonts w:hint="eastAsia" w:asciiTheme="minorEastAsia" w:hAnsiTheme="minorEastAsia" w:cstheme="minorEastAsia"/>
          <w:sz w:val="21"/>
          <w:szCs w:val="21"/>
        </w:rPr>
        <w:t>1.3 竞争性谈判内容</w:t>
      </w:r>
      <w:bookmarkEnd w:id="15"/>
      <w:r>
        <w:rPr>
          <w:rFonts w:hint="eastAsia" w:asciiTheme="minorEastAsia" w:hAnsiTheme="minorEastAsia" w:cstheme="minorEastAsia"/>
          <w:kern w:val="0"/>
          <w:szCs w:val="21"/>
        </w:rPr>
        <w:t>：</w:t>
      </w:r>
      <w:r>
        <w:rPr>
          <w:rFonts w:hint="eastAsia" w:asciiTheme="minorEastAsia" w:hAnsiTheme="minorEastAsia" w:cstheme="minorEastAsia"/>
          <w:szCs w:val="21"/>
        </w:rPr>
        <w:t>见附表1。</w:t>
      </w:r>
    </w:p>
    <w:p>
      <w:pPr>
        <w:pStyle w:val="2"/>
        <w:rPr>
          <w:rFonts w:asciiTheme="minorEastAsia" w:hAnsiTheme="minorEastAsia" w:cstheme="minorEastAsia"/>
          <w:sz w:val="21"/>
          <w:szCs w:val="21"/>
        </w:rPr>
      </w:pPr>
      <w:bookmarkStart w:id="16" w:name="_Toc27757"/>
      <w:r>
        <w:rPr>
          <w:rFonts w:hint="eastAsia" w:asciiTheme="minorEastAsia" w:hAnsiTheme="minorEastAsia" w:cstheme="minorEastAsia"/>
          <w:sz w:val="21"/>
          <w:szCs w:val="21"/>
        </w:rPr>
        <w:t>2.竞争性谈判申请人资格要求</w:t>
      </w:r>
      <w:bookmarkEnd w:id="16"/>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2.1 本次竞争性谈判被邀请谈判供应商资格要求：</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2.1.1通用资格要求：</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①营业范围要求：在中华人民共和国境内依法注册，具有独立法人资格、具有谈判物资生产或供应经验的生产厂或供应商，并且具有合法、有效的三证合一的营业执照。</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②财务能力要求：资金财务状况良好，具备实施本项目合同充足的资金保障能力；谈判供应商为生产厂的须具有2016-2017年经会计师事务所或审计机构审计的财务报告及报表，谈判供应商为代理商的须具有2016-2017年的财务报告及报表。</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③质量保证能力要求：生产厂具有有效的ISO9000系列质量管理体系认证，产品符合国家现行标准；并且具有近两年（2016、2017年）的省、部级及以上专业检测机构出具的针对投标物资质量检验报告2份。</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④供货业绩要求：谈判供应商2016、2017年至少有2份</w:t>
      </w:r>
      <w:r>
        <w:rPr>
          <w:rFonts w:hint="eastAsia" w:asciiTheme="minorEastAsia" w:hAnsiTheme="minorEastAsia" w:cstheme="minorEastAsia"/>
          <w:szCs w:val="21"/>
          <w:lang w:val="en-US" w:eastAsia="zh-CN"/>
        </w:rPr>
        <w:t>同类产品</w:t>
      </w:r>
      <w:r>
        <w:rPr>
          <w:rFonts w:hint="eastAsia" w:asciiTheme="minorEastAsia" w:hAnsiTheme="minorEastAsia" w:cstheme="minorEastAsia"/>
          <w:szCs w:val="21"/>
        </w:rPr>
        <w:t>供货业绩相关证明材料。</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⑤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及招标人所在集团公司列入“限制交易供应商名单”、“不合格供应商名单”或“供应商黑名单”。同时，要求提供至少</w:t>
      </w:r>
      <w:r>
        <w:rPr>
          <w:rFonts w:hint="eastAsia" w:asciiTheme="minorEastAsia" w:hAnsiTheme="minorEastAsia" w:cstheme="minorEastAsia"/>
          <w:szCs w:val="21"/>
          <w:lang w:val="en-US" w:eastAsia="zh-CN"/>
        </w:rPr>
        <w:t>2</w:t>
      </w:r>
      <w:r>
        <w:rPr>
          <w:rFonts w:hint="eastAsia" w:asciiTheme="minorEastAsia" w:hAnsiTheme="minorEastAsia" w:cstheme="minorEastAsia"/>
          <w:szCs w:val="21"/>
        </w:rPr>
        <w:t>家同类谈判物资已供买方或使用单位出具的投标人履约情况证明。</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2.1.2专用资格要求：见附表1。</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2.2 本次竞争性谈判不接受联合体投标。</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2.3 被邀请谈判供应商必须提供满足竞争性谈判文件要求的投标物资，且制造地、生产线、生产工艺及原材料等始终与投标承诺一致。</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2.4 本次竞争性谈判物资一包一投。</w:t>
      </w:r>
    </w:p>
    <w:p>
      <w:pPr>
        <w:widowControl/>
        <w:spacing w:line="360" w:lineRule="auto"/>
        <w:ind w:firstLine="480"/>
        <w:jc w:val="left"/>
        <w:rPr>
          <w:rFonts w:ascii="宋体" w:hAnsi="宋体"/>
          <w:b/>
          <w:bCs/>
          <w:szCs w:val="21"/>
        </w:rPr>
      </w:pPr>
      <w:r>
        <w:rPr>
          <w:rFonts w:hint="eastAsia" w:asciiTheme="minorEastAsia" w:hAnsiTheme="minorEastAsia" w:cstheme="minorEastAsia"/>
          <w:szCs w:val="21"/>
        </w:rPr>
        <w:t>2.5</w:t>
      </w:r>
      <w:r>
        <w:rPr>
          <w:rFonts w:hint="eastAsia" w:ascii="宋体" w:hAnsi="宋体"/>
          <w:szCs w:val="21"/>
        </w:rPr>
        <w:t>供应商必须为增值税一般纳税人，且必须及时开具合法合规的1</w:t>
      </w:r>
      <w:r>
        <w:rPr>
          <w:rFonts w:hint="eastAsia" w:ascii="宋体" w:hAnsi="宋体"/>
          <w:szCs w:val="21"/>
          <w:lang w:val="en-US" w:eastAsia="zh-CN"/>
        </w:rPr>
        <w:t>6</w:t>
      </w:r>
      <w:r>
        <w:rPr>
          <w:rFonts w:hint="eastAsia" w:ascii="宋体" w:hAnsi="宋体"/>
          <w:szCs w:val="21"/>
        </w:rPr>
        <w:t>%增值税专用发票票据，作为货款结算支付的凭据。</w:t>
      </w:r>
    </w:p>
    <w:p>
      <w:pPr>
        <w:adjustRightInd w:val="0"/>
        <w:snapToGrid w:val="0"/>
        <w:spacing w:line="360" w:lineRule="auto"/>
        <w:ind w:firstLine="420" w:firstLineChars="200"/>
        <w:rPr>
          <w:rFonts w:ascii="宋体" w:hAnsi="宋体"/>
          <w:b/>
          <w:bCs/>
          <w:szCs w:val="21"/>
        </w:rPr>
      </w:pPr>
      <w:r>
        <w:rPr>
          <w:rFonts w:hint="eastAsia" w:asciiTheme="minorEastAsia" w:hAnsiTheme="minorEastAsia" w:cstheme="minorEastAsia"/>
          <w:szCs w:val="21"/>
        </w:rPr>
        <w:t>2.6</w:t>
      </w:r>
      <w:r>
        <w:rPr>
          <w:rFonts w:hint="eastAsia" w:ascii="宋体" w:hAnsi="宋体"/>
          <w:b/>
          <w:bCs/>
          <w:szCs w:val="21"/>
        </w:rPr>
        <w:t>投标人必须是已在鲁班网上进行注册的单位。</w:t>
      </w:r>
    </w:p>
    <w:p>
      <w:pPr>
        <w:widowControl/>
        <w:spacing w:line="360" w:lineRule="auto"/>
        <w:ind w:firstLine="480"/>
        <w:jc w:val="left"/>
        <w:rPr>
          <w:rFonts w:ascii="宋体" w:hAnsi="宋体"/>
          <w:b/>
          <w:bCs/>
          <w:szCs w:val="21"/>
        </w:rPr>
      </w:pPr>
      <w:r>
        <w:rPr>
          <w:rFonts w:hint="eastAsia" w:ascii="宋体" w:hAnsi="宋体"/>
          <w:b/>
          <w:bCs/>
          <w:szCs w:val="21"/>
        </w:rPr>
        <w:t>2.7</w:t>
      </w:r>
      <w:r>
        <w:rPr>
          <w:rFonts w:hint="eastAsia" w:ascii="宋体" w:hAnsi="宋体"/>
          <w:szCs w:val="21"/>
        </w:rPr>
        <w:t>投标人不得是相应工程标段承包人或者承担本项目的设计、监理单位的子公司及控股公司。</w:t>
      </w:r>
    </w:p>
    <w:p>
      <w:pPr>
        <w:pStyle w:val="2"/>
        <w:rPr>
          <w:rFonts w:asciiTheme="minorEastAsia" w:hAnsiTheme="minorEastAsia" w:cstheme="minorEastAsia"/>
          <w:sz w:val="21"/>
          <w:szCs w:val="21"/>
        </w:rPr>
      </w:pPr>
      <w:bookmarkStart w:id="17" w:name="_Toc27984"/>
      <w:r>
        <w:rPr>
          <w:rFonts w:hint="eastAsia" w:asciiTheme="minorEastAsia" w:hAnsiTheme="minorEastAsia" w:cstheme="minorEastAsia"/>
          <w:sz w:val="21"/>
          <w:szCs w:val="21"/>
        </w:rPr>
        <w:t>3.竞争性谈判文件的获取</w:t>
      </w:r>
      <w:bookmarkEnd w:id="17"/>
    </w:p>
    <w:p>
      <w:pPr>
        <w:widowControl/>
        <w:shd w:val="clear" w:color="auto" w:fill="FFFFFF"/>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3.1 本次竞争性谈判文件仅采用在中国中铁采购电子商务平台上以电子版方式发售。</w:t>
      </w:r>
    </w:p>
    <w:p>
      <w:pPr>
        <w:widowControl/>
        <w:shd w:val="clear" w:color="auto" w:fill="FFFFFF"/>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3.2购买电子版竞争性谈判文件的潜在谈判供应商在平台响应后，根据所投包件请于2018年5月 </w:t>
      </w:r>
      <w:r>
        <w:rPr>
          <w:rFonts w:hint="eastAsia" w:asciiTheme="minorEastAsia" w:hAnsiTheme="minorEastAsia" w:cstheme="minorEastAsia"/>
          <w:szCs w:val="21"/>
          <w:lang w:val="en-US" w:eastAsia="zh-CN"/>
        </w:rPr>
        <w:t>15</w:t>
      </w:r>
      <w:r>
        <w:rPr>
          <w:rFonts w:hint="eastAsia" w:asciiTheme="minorEastAsia" w:hAnsiTheme="minorEastAsia" w:cstheme="minorEastAsia"/>
          <w:szCs w:val="21"/>
        </w:rPr>
        <w:t>日前将谈判确认函（附表2）、身份证明、营业执照副本扫描件分别发送至648759225@qq.com，并根据所需购买包件的竞争性谈判文件售价足额现金转入到谈判组织单位指定账户</w:t>
      </w:r>
      <w:r>
        <w:rPr>
          <w:rFonts w:hint="eastAsia" w:asciiTheme="minorEastAsia" w:hAnsiTheme="minorEastAsia" w:cstheme="minorEastAsia"/>
          <w:b/>
          <w:bCs/>
          <w:szCs w:val="21"/>
        </w:rPr>
        <w:t>（银行信息：开户名称：中铁四局集团第四工程有限公司，开户银行：中国农业银行股份有限公司合肥新站高新区支行，账号：12081101040002519），在汇款单上注明标书款、项目名称及所投包件号（如：标书款</w:t>
      </w:r>
      <w:r>
        <w:rPr>
          <w:rFonts w:hint="eastAsia" w:asciiTheme="minorEastAsia" w:hAnsiTheme="minorEastAsia" w:cstheme="minorEastAsia"/>
          <w:b/>
          <w:bCs/>
          <w:szCs w:val="21"/>
          <w:lang w:val="en-US" w:eastAsia="zh-CN"/>
        </w:rPr>
        <w:t>1190</w:t>
      </w:r>
      <w:r>
        <w:rPr>
          <w:rFonts w:hint="eastAsia" w:asciiTheme="minorEastAsia" w:hAnsiTheme="minorEastAsia" w:cstheme="minorEastAsia"/>
          <w:b/>
          <w:bCs/>
          <w:szCs w:val="21"/>
        </w:rPr>
        <w:t>、物资管理中心、PK-01）</w:t>
      </w:r>
      <w:r>
        <w:rPr>
          <w:rFonts w:hint="eastAsia" w:asciiTheme="minorEastAsia" w:hAnsiTheme="minorEastAsia" w:cstheme="minorEastAsia"/>
          <w:szCs w:val="21"/>
        </w:rPr>
        <w:t>，汇款单位名称与被邀请谈判供应商名称须完全一致。被邀请谈判供应商可将银行回单扫描件发送至谈判组织单位，谈判组织单位收到信息经核实后，将电子版竞争性谈判文件发送至被邀请谈判供应商确认函提供的邮箱中。</w:t>
      </w:r>
    </w:p>
    <w:p>
      <w:pPr>
        <w:widowControl/>
        <w:shd w:val="clear" w:color="auto" w:fill="FFFFFF"/>
        <w:spacing w:line="360" w:lineRule="auto"/>
        <w:ind w:firstLine="420" w:firstLineChars="200"/>
        <w:rPr>
          <w:rFonts w:asciiTheme="minorEastAsia" w:hAnsiTheme="minorEastAsia" w:cstheme="minorEastAsia"/>
          <w:kern w:val="0"/>
          <w:szCs w:val="21"/>
        </w:rPr>
      </w:pPr>
      <w:r>
        <w:rPr>
          <w:rFonts w:hint="eastAsia" w:asciiTheme="minorEastAsia" w:hAnsiTheme="minorEastAsia" w:cstheme="minorEastAsia"/>
          <w:szCs w:val="21"/>
        </w:rPr>
        <w:t>3.4竞争性谈判文件每套售价详见附表1，竞争性谈判售后不退（不提供发票）</w:t>
      </w:r>
      <w:r>
        <w:rPr>
          <w:rFonts w:hint="eastAsia" w:asciiTheme="minorEastAsia" w:hAnsiTheme="minorEastAsia" w:cstheme="minorEastAsia"/>
          <w:kern w:val="0"/>
          <w:szCs w:val="21"/>
        </w:rPr>
        <w:t>。</w:t>
      </w:r>
    </w:p>
    <w:p>
      <w:pPr>
        <w:pStyle w:val="2"/>
        <w:tabs>
          <w:tab w:val="left" w:pos="3929"/>
        </w:tabs>
        <w:rPr>
          <w:rFonts w:hint="eastAsia" w:asciiTheme="minorEastAsia" w:hAnsiTheme="minorEastAsia" w:eastAsiaTheme="minorEastAsia" w:cstheme="minorEastAsia"/>
          <w:sz w:val="21"/>
          <w:szCs w:val="21"/>
          <w:lang w:eastAsia="zh-CN"/>
        </w:rPr>
      </w:pPr>
      <w:bookmarkStart w:id="18" w:name="_Toc17952"/>
      <w:r>
        <w:rPr>
          <w:rFonts w:hint="eastAsia" w:asciiTheme="minorEastAsia" w:hAnsiTheme="minorEastAsia" w:cstheme="minorEastAsia"/>
          <w:sz w:val="21"/>
          <w:szCs w:val="21"/>
        </w:rPr>
        <w:t>4.竞争性谈判投标文件的递交与开标</w:t>
      </w:r>
      <w:bookmarkEnd w:id="18"/>
      <w:r>
        <w:rPr>
          <w:rFonts w:hint="eastAsia" w:asciiTheme="minorEastAsia" w:hAnsiTheme="minorEastAsia" w:cstheme="minorEastAsia"/>
          <w:sz w:val="21"/>
          <w:szCs w:val="21"/>
          <w:lang w:eastAsia="zh-CN"/>
        </w:rPr>
        <w:tab/>
      </w:r>
      <w:bookmarkStart w:id="39" w:name="_GoBack"/>
      <w:bookmarkEnd w:id="39"/>
    </w:p>
    <w:p>
      <w:pPr>
        <w:pStyle w:val="3"/>
        <w:ind w:firstLine="422"/>
        <w:rPr>
          <w:rFonts w:asciiTheme="minorEastAsia" w:hAnsiTheme="minorEastAsia" w:cstheme="minorEastAsia"/>
          <w:sz w:val="21"/>
          <w:szCs w:val="21"/>
        </w:rPr>
      </w:pPr>
      <w:bookmarkStart w:id="19" w:name="_Toc14393"/>
      <w:r>
        <w:rPr>
          <w:rFonts w:hint="eastAsia" w:asciiTheme="minorEastAsia" w:hAnsiTheme="minorEastAsia" w:cstheme="minorEastAsia"/>
          <w:sz w:val="21"/>
          <w:szCs w:val="21"/>
        </w:rPr>
        <w:t>4.1 响应文件的递交</w:t>
      </w:r>
      <w:bookmarkEnd w:id="19"/>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（1）递交时间：2018年 5月 </w:t>
      </w:r>
      <w:r>
        <w:rPr>
          <w:rFonts w:hint="eastAsia" w:asciiTheme="minorEastAsia" w:hAnsiTheme="minorEastAsia" w:cstheme="minorEastAsia"/>
          <w:szCs w:val="21"/>
          <w:lang w:val="en-US" w:eastAsia="zh-CN"/>
        </w:rPr>
        <w:t>25</w:t>
      </w:r>
      <w:r>
        <w:rPr>
          <w:rFonts w:hint="eastAsia" w:asciiTheme="minorEastAsia" w:hAnsiTheme="minorEastAsia" w:cstheme="minorEastAsia"/>
          <w:szCs w:val="21"/>
        </w:rPr>
        <w:t>日10:00</w:t>
      </w:r>
      <w:r>
        <w:rPr>
          <w:rFonts w:hint="eastAsia" w:asciiTheme="minorEastAsia" w:hAnsiTheme="minorEastAsia" w:cstheme="minorEastAsia"/>
          <w:szCs w:val="21"/>
          <w:lang w:val="en-US" w:eastAsia="zh-CN"/>
        </w:rPr>
        <w:t>前</w:t>
      </w:r>
      <w:r>
        <w:rPr>
          <w:rFonts w:hint="eastAsia" w:asciiTheme="minorEastAsia" w:hAnsiTheme="minorEastAsia" w:cstheme="minorEastAsia"/>
          <w:szCs w:val="21"/>
        </w:rPr>
        <w:t>。</w:t>
      </w:r>
    </w:p>
    <w:p>
      <w:pPr>
        <w:spacing w:line="360" w:lineRule="auto"/>
        <w:ind w:firstLine="420" w:firstLineChars="200"/>
        <w:rPr>
          <w:rFonts w:asciiTheme="minorEastAsia" w:hAnsiTheme="minorEastAsia" w:cstheme="minorEastAsia"/>
          <w:kern w:val="0"/>
          <w:szCs w:val="21"/>
        </w:rPr>
      </w:pPr>
      <w:bookmarkStart w:id="20" w:name="_Toc448788415"/>
      <w:r>
        <w:rPr>
          <w:rFonts w:hint="eastAsia" w:asciiTheme="minorEastAsia" w:hAnsiTheme="minorEastAsia" w:cstheme="minorEastAsia"/>
          <w:szCs w:val="21"/>
        </w:rPr>
        <w:t>（2）递交</w:t>
      </w:r>
      <w:bookmarkEnd w:id="20"/>
      <w:r>
        <w:rPr>
          <w:rFonts w:hint="eastAsia" w:asciiTheme="minorEastAsia" w:hAnsiTheme="minorEastAsia" w:cstheme="minorEastAsia"/>
          <w:szCs w:val="21"/>
        </w:rPr>
        <w:t>地点：</w:t>
      </w:r>
      <w:bookmarkStart w:id="21" w:name="_Toc448788416"/>
      <w:r>
        <w:rPr>
          <w:rFonts w:hint="eastAsia" w:asciiTheme="minorEastAsia" w:hAnsiTheme="minorEastAsia" w:cstheme="minorEastAsia"/>
          <w:szCs w:val="21"/>
        </w:rPr>
        <w:t>中铁四局集团四公司工地模架中心会议室；地址：安徽省合肥市阜阳北路454号工地模架中心（阜阳北路生活小区内）。</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（3）其他要求</w:t>
      </w:r>
      <w:bookmarkEnd w:id="21"/>
      <w:r>
        <w:rPr>
          <w:rFonts w:hint="eastAsia" w:asciiTheme="minorEastAsia" w:hAnsiTheme="minorEastAsia" w:cstheme="minorEastAsia"/>
          <w:szCs w:val="21"/>
        </w:rPr>
        <w:t>：竞争性谈判文件以纸质版的形式递交，逾期送达的或者未送达指定地点的竞争性谈判文件，采购单位不予受理。</w:t>
      </w:r>
    </w:p>
    <w:p>
      <w:pPr>
        <w:pStyle w:val="3"/>
        <w:ind w:firstLine="422"/>
        <w:rPr>
          <w:rFonts w:asciiTheme="minorEastAsia" w:hAnsiTheme="minorEastAsia" w:cstheme="minorEastAsia"/>
          <w:sz w:val="21"/>
          <w:szCs w:val="21"/>
        </w:rPr>
      </w:pPr>
      <w:bookmarkStart w:id="22" w:name="_Toc32637"/>
      <w:r>
        <w:rPr>
          <w:rFonts w:hint="eastAsia" w:asciiTheme="minorEastAsia" w:hAnsiTheme="minorEastAsia" w:cstheme="minorEastAsia"/>
          <w:sz w:val="21"/>
          <w:szCs w:val="21"/>
        </w:rPr>
        <w:t>4.2 开标</w:t>
      </w:r>
      <w:bookmarkEnd w:id="22"/>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（1）开标时间：2018年 5月 25日10:00时。</w:t>
      </w:r>
    </w:p>
    <w:p>
      <w:pPr>
        <w:spacing w:line="360" w:lineRule="auto"/>
        <w:ind w:firstLine="420" w:firstLineChars="200"/>
        <w:rPr>
          <w:rFonts w:asciiTheme="minorEastAsia" w:hAnsiTheme="minorEastAsia" w:cstheme="minorEastAsia"/>
          <w:kern w:val="0"/>
          <w:szCs w:val="21"/>
        </w:rPr>
      </w:pPr>
      <w:r>
        <w:rPr>
          <w:rFonts w:hint="eastAsia" w:asciiTheme="minorEastAsia" w:hAnsiTheme="minorEastAsia" w:cstheme="minorEastAsia"/>
          <w:szCs w:val="21"/>
        </w:rPr>
        <w:t>（2）开标地点：中铁四局集团四公司工地模架中心会议室</w:t>
      </w:r>
    </w:p>
    <w:p>
      <w:pPr>
        <w:pStyle w:val="2"/>
        <w:rPr>
          <w:rFonts w:asciiTheme="minorEastAsia" w:hAnsiTheme="minorEastAsia" w:cstheme="minorEastAsia"/>
          <w:sz w:val="21"/>
          <w:szCs w:val="21"/>
        </w:rPr>
      </w:pPr>
      <w:bookmarkStart w:id="23" w:name="_Toc22389"/>
      <w:r>
        <w:rPr>
          <w:rFonts w:hint="eastAsia" w:asciiTheme="minorEastAsia" w:hAnsiTheme="minorEastAsia" w:cstheme="minorEastAsia"/>
          <w:sz w:val="21"/>
          <w:szCs w:val="21"/>
        </w:rPr>
        <w:t>5.公告发布媒介</w:t>
      </w:r>
      <w:bookmarkEnd w:id="23"/>
    </w:p>
    <w:p>
      <w:pPr>
        <w:spacing w:line="360" w:lineRule="auto"/>
        <w:ind w:firstLine="420" w:firstLineChars="200"/>
        <w:rPr>
          <w:rFonts w:asciiTheme="minorEastAsia" w:hAnsiTheme="minorEastAsia" w:cstheme="minorEastAsia"/>
          <w:szCs w:val="21"/>
        </w:rPr>
      </w:pPr>
      <w:r>
        <w:rPr>
          <w:rFonts w:hint="eastAsia" w:ascii="宋体" w:hAnsi="宋体" w:eastAsia="宋体" w:cs="宋体"/>
          <w:szCs w:val="21"/>
        </w:rPr>
        <w:t>本次</w:t>
      </w:r>
      <w:r>
        <w:rPr>
          <w:rFonts w:hint="eastAsia" w:ascii="宋体" w:hAnsi="宋体" w:cs="宋体"/>
          <w:szCs w:val="21"/>
        </w:rPr>
        <w:t>竞争性谈判</w:t>
      </w:r>
      <w:r>
        <w:rPr>
          <w:rFonts w:hint="eastAsia" w:ascii="宋体" w:hAnsi="宋体" w:eastAsia="宋体" w:cs="宋体"/>
          <w:szCs w:val="21"/>
        </w:rPr>
        <w:t>公告在</w:t>
      </w:r>
      <w:r>
        <w:rPr>
          <w:rFonts w:hint="eastAsia" w:ascii="宋体" w:hAnsi="宋体"/>
          <w:szCs w:val="21"/>
        </w:rPr>
        <w:t>中国采购与招标网（</w:t>
      </w:r>
      <w:r>
        <w:rPr>
          <w:rFonts w:ascii="宋体" w:hAnsi="宋体"/>
          <w:szCs w:val="21"/>
        </w:rPr>
        <w:t>www.chinabidding.com.cn</w:t>
      </w:r>
      <w:r>
        <w:rPr>
          <w:rFonts w:hint="eastAsia" w:ascii="宋体" w:hAnsi="宋体"/>
          <w:szCs w:val="21"/>
        </w:rPr>
        <w:t>）和中国中铁电子商务采购平台（</w:t>
      </w:r>
      <w:r>
        <w:rPr>
          <w:rFonts w:ascii="宋体" w:hAnsi="宋体"/>
          <w:szCs w:val="21"/>
        </w:rPr>
        <w:t>www.crecgec.com</w:t>
      </w:r>
      <w:r>
        <w:rPr>
          <w:rFonts w:hint="eastAsia" w:ascii="宋体" w:hAnsi="宋体"/>
          <w:szCs w:val="21"/>
        </w:rPr>
        <w:t>）同时发布</w:t>
      </w:r>
      <w:r>
        <w:rPr>
          <w:rFonts w:hint="eastAsia" w:ascii="宋体" w:hAnsi="宋体" w:eastAsia="宋体" w:cs="宋体"/>
          <w:szCs w:val="21"/>
        </w:rPr>
        <w:t>。</w:t>
      </w:r>
    </w:p>
    <w:p>
      <w:pPr>
        <w:pStyle w:val="2"/>
        <w:rPr>
          <w:rFonts w:asciiTheme="minorEastAsia" w:hAnsiTheme="minorEastAsia" w:cstheme="minorEastAsia"/>
          <w:sz w:val="21"/>
          <w:szCs w:val="21"/>
        </w:rPr>
      </w:pPr>
      <w:bookmarkStart w:id="24" w:name="_Toc29427"/>
      <w:r>
        <w:rPr>
          <w:rFonts w:hint="eastAsia" w:asciiTheme="minorEastAsia" w:hAnsiTheme="minorEastAsia" w:cstheme="minorEastAsia"/>
          <w:sz w:val="21"/>
          <w:szCs w:val="21"/>
        </w:rPr>
        <w:t>6.谈判保证金</w:t>
      </w:r>
      <w:bookmarkEnd w:id="24"/>
    </w:p>
    <w:p>
      <w:pPr>
        <w:spacing w:line="360" w:lineRule="auto"/>
        <w:ind w:left="210" w:leftChars="100" w:firstLine="210" w:firstLineChars="100"/>
        <w:rPr>
          <w:rFonts w:asciiTheme="minorEastAsia" w:hAnsiTheme="minorEastAsia" w:cstheme="minorEastAsia"/>
          <w:szCs w:val="21"/>
        </w:rPr>
      </w:pPr>
      <w:bookmarkStart w:id="25" w:name="_Toc2964"/>
      <w:r>
        <w:rPr>
          <w:rFonts w:hint="eastAsia" w:asciiTheme="minorEastAsia" w:hAnsiTheme="minorEastAsia" w:cstheme="minorEastAsia"/>
          <w:szCs w:val="21"/>
        </w:rPr>
        <w:t>递交谈判文件时须交纳谈判保证金（具体数额见附表1），谈判保证金根据所投包件请于</w:t>
      </w:r>
      <w:r>
        <w:rPr>
          <w:rFonts w:hint="eastAsia" w:asciiTheme="minorEastAsia" w:hAnsiTheme="minorEastAsia" w:cstheme="minorEastAsia"/>
          <w:szCs w:val="21"/>
          <w:lang w:val="en-US" w:eastAsia="zh-CN"/>
        </w:rPr>
        <w:t>2018年5</w:t>
      </w:r>
      <w:r>
        <w:rPr>
          <w:rFonts w:hint="eastAsia" w:asciiTheme="minorEastAsia" w:hAnsiTheme="minorEastAsia" w:cstheme="minorEastAsia"/>
          <w:szCs w:val="21"/>
        </w:rPr>
        <w:t>月</w:t>
      </w:r>
      <w:r>
        <w:rPr>
          <w:rFonts w:hint="eastAsia" w:asciiTheme="minorEastAsia" w:hAnsiTheme="minorEastAsia" w:cstheme="minorEastAsia"/>
          <w:szCs w:val="21"/>
          <w:lang w:val="en-US" w:eastAsia="zh-CN"/>
        </w:rPr>
        <w:t>23</w:t>
      </w:r>
      <w:r>
        <w:rPr>
          <w:rFonts w:hint="eastAsia" w:asciiTheme="minorEastAsia" w:hAnsiTheme="minorEastAsia" w:cstheme="minorEastAsia"/>
          <w:szCs w:val="21"/>
        </w:rPr>
        <w:t>日14：00前汇入中铁四局集团第四工程有限公司指定账户</w:t>
      </w:r>
      <w:r>
        <w:rPr>
          <w:rFonts w:hint="eastAsia" w:asciiTheme="minorEastAsia" w:hAnsiTheme="minorEastAsia" w:cstheme="minorEastAsia"/>
          <w:b/>
          <w:bCs/>
          <w:szCs w:val="21"/>
        </w:rPr>
        <w:t>（银行信息：开户名称：中铁四局集团第四工程有限公司，开户银行：</w:t>
      </w:r>
      <w:r>
        <w:rPr>
          <w:rFonts w:hint="eastAsia" w:ascii="宋体" w:hAnsi="宋体" w:eastAsia="宋体" w:cs="宋体"/>
          <w:b/>
          <w:bCs/>
          <w:szCs w:val="21"/>
        </w:rPr>
        <w:t>中国农业银行股份有限公司合肥新站高新区支行</w:t>
      </w:r>
      <w:r>
        <w:rPr>
          <w:rFonts w:hint="eastAsia" w:asciiTheme="minorEastAsia" w:hAnsiTheme="minorEastAsia" w:cstheme="minorEastAsia"/>
          <w:b/>
          <w:bCs/>
          <w:szCs w:val="21"/>
        </w:rPr>
        <w:t>，账号：12081101040002519），在汇款单上注明标书款、项目名称及所投包件号（如：投标保证金1190、物资管理中心、PK-01），</w:t>
      </w:r>
      <w:r>
        <w:rPr>
          <w:rFonts w:hint="eastAsia" w:asciiTheme="minorEastAsia" w:hAnsiTheme="minorEastAsia" w:cstheme="minorEastAsia"/>
          <w:szCs w:val="21"/>
        </w:rPr>
        <w:t>确保到账，并在汇款单上注明所投项目名称及包件号，不接受个人汇款，谈判保证金汇款单位名称与被邀请谈判供应商名称须完全一致。未按期汇入谈判保证金的，其谈判文件作废标处理。谈判保证金待成交通知书发出后5个工作日内按竞争性谈判文件规定不计息退还被邀请谈判供应商。</w:t>
      </w:r>
      <w:bookmarkEnd w:id="25"/>
    </w:p>
    <w:p>
      <w:pPr>
        <w:pStyle w:val="2"/>
        <w:rPr>
          <w:rFonts w:asciiTheme="minorEastAsia" w:hAnsiTheme="minorEastAsia" w:cstheme="minorEastAsia"/>
          <w:sz w:val="21"/>
          <w:szCs w:val="21"/>
        </w:rPr>
      </w:pPr>
      <w:bookmarkStart w:id="26" w:name="_Toc28727"/>
      <w:r>
        <w:rPr>
          <w:rFonts w:hint="eastAsia" w:asciiTheme="minorEastAsia" w:hAnsiTheme="minorEastAsia" w:cstheme="minorEastAsia"/>
          <w:sz w:val="21"/>
          <w:szCs w:val="21"/>
        </w:rPr>
        <w:t>7.采购单位信息及联系方式</w:t>
      </w:r>
      <w:bookmarkEnd w:id="26"/>
    </w:p>
    <w:p>
      <w:pPr>
        <w:widowControl/>
        <w:shd w:val="clear" w:color="auto" w:fill="FFFFFF"/>
        <w:spacing w:line="360" w:lineRule="auto"/>
        <w:ind w:firstLine="420" w:firstLineChars="200"/>
        <w:jc w:val="left"/>
        <w:rPr>
          <w:rFonts w:asciiTheme="minorEastAsia" w:hAnsiTheme="minorEastAsia" w:cstheme="minorEastAsia"/>
          <w:kern w:val="0"/>
          <w:szCs w:val="21"/>
        </w:rPr>
      </w:pPr>
      <w:r>
        <w:rPr>
          <w:rFonts w:hint="eastAsia" w:asciiTheme="minorEastAsia" w:hAnsiTheme="minorEastAsia" w:cstheme="minorEastAsia"/>
          <w:kern w:val="0"/>
          <w:szCs w:val="21"/>
        </w:rPr>
        <w:t>谈判组织单位：中铁四局集团第四工程有限公司</w:t>
      </w:r>
    </w:p>
    <w:p>
      <w:pPr>
        <w:widowControl/>
        <w:shd w:val="clear" w:color="auto" w:fill="FFFFFF"/>
        <w:spacing w:line="360" w:lineRule="auto"/>
        <w:ind w:firstLine="420" w:firstLineChars="200"/>
        <w:jc w:val="left"/>
        <w:rPr>
          <w:rFonts w:asciiTheme="minorEastAsia" w:hAnsiTheme="minorEastAsia" w:cstheme="minorEastAsia"/>
          <w:kern w:val="0"/>
          <w:szCs w:val="21"/>
        </w:rPr>
      </w:pPr>
      <w:r>
        <w:rPr>
          <w:rFonts w:hint="eastAsia" w:asciiTheme="minorEastAsia" w:hAnsiTheme="minorEastAsia" w:cstheme="minorEastAsia"/>
          <w:kern w:val="0"/>
          <w:szCs w:val="21"/>
        </w:rPr>
        <w:t>采购单位：中铁四局集团第四工程有限公司物资管理中心</w:t>
      </w:r>
    </w:p>
    <w:p>
      <w:pPr>
        <w:widowControl/>
        <w:shd w:val="clear" w:color="auto" w:fill="FFFFFF"/>
        <w:spacing w:line="360" w:lineRule="auto"/>
        <w:ind w:firstLine="420" w:firstLineChars="200"/>
        <w:jc w:val="left"/>
        <w:rPr>
          <w:rFonts w:asciiTheme="minorEastAsia" w:hAnsiTheme="minorEastAsia" w:cstheme="minorEastAsia"/>
          <w:kern w:val="0"/>
          <w:szCs w:val="21"/>
        </w:rPr>
      </w:pPr>
      <w:r>
        <w:rPr>
          <w:rFonts w:hint="eastAsia" w:asciiTheme="minorEastAsia" w:hAnsiTheme="minorEastAsia" w:cstheme="minorEastAsia"/>
          <w:kern w:val="0"/>
          <w:szCs w:val="21"/>
        </w:rPr>
        <w:t>联系人：何新燕                       电话：055165245674</w:t>
      </w:r>
    </w:p>
    <w:p>
      <w:pPr>
        <w:widowControl/>
        <w:shd w:val="clear" w:color="auto" w:fill="FFFFFF"/>
        <w:spacing w:line="360" w:lineRule="auto"/>
        <w:ind w:firstLine="420" w:firstLineChars="200"/>
        <w:jc w:val="left"/>
        <w:rPr>
          <w:rFonts w:asciiTheme="minorEastAsia" w:hAnsiTheme="minorEastAsia" w:cstheme="minorEastAsia"/>
          <w:kern w:val="0"/>
          <w:szCs w:val="21"/>
        </w:rPr>
      </w:pPr>
      <w:r>
        <w:rPr>
          <w:rFonts w:hint="eastAsia" w:asciiTheme="minorEastAsia" w:hAnsiTheme="minorEastAsia" w:cstheme="minorEastAsia"/>
          <w:kern w:val="0"/>
          <w:szCs w:val="21"/>
        </w:rPr>
        <w:t>地址：安徽省合肥市庐阳区阜阳北路454号</w:t>
      </w:r>
    </w:p>
    <w:p>
      <w:pPr>
        <w:widowControl/>
        <w:shd w:val="clear" w:color="auto" w:fill="FFFFFF"/>
        <w:spacing w:line="360" w:lineRule="auto"/>
        <w:ind w:firstLine="420" w:firstLineChars="200"/>
        <w:jc w:val="left"/>
        <w:rPr>
          <w:rFonts w:asciiTheme="minorEastAsia" w:hAnsiTheme="minorEastAsia" w:cstheme="minorEastAsia"/>
          <w:kern w:val="0"/>
          <w:szCs w:val="21"/>
        </w:rPr>
      </w:pPr>
    </w:p>
    <w:p>
      <w:pPr>
        <w:widowControl/>
        <w:shd w:val="clear" w:color="auto" w:fill="FFFFFF"/>
        <w:spacing w:line="360" w:lineRule="auto"/>
        <w:ind w:firstLine="420" w:firstLineChars="200"/>
        <w:jc w:val="left"/>
        <w:rPr>
          <w:rFonts w:asciiTheme="minorEastAsia" w:hAnsiTheme="minorEastAsia" w:cstheme="minorEastAsia"/>
          <w:kern w:val="0"/>
          <w:szCs w:val="21"/>
        </w:rPr>
      </w:pPr>
    </w:p>
    <w:p>
      <w:pPr>
        <w:adjustRightInd w:val="0"/>
        <w:snapToGrid w:val="0"/>
        <w:spacing w:line="360" w:lineRule="auto"/>
        <w:ind w:firstLine="420" w:firstLineChars="200"/>
        <w:rPr>
          <w:rFonts w:asciiTheme="minorEastAsia" w:hAnsiTheme="minorEastAsia" w:cstheme="minorEastAsia"/>
          <w:kern w:val="0"/>
          <w:szCs w:val="21"/>
        </w:rPr>
        <w:sectPr>
          <w:footerReference r:id="rId3" w:type="default"/>
          <w:pgSz w:w="11906" w:h="16838"/>
          <w:pgMar w:top="1418" w:right="1418" w:bottom="1418" w:left="1418" w:header="851" w:footer="851" w:gutter="0"/>
          <w:pgNumType w:start="1"/>
          <w:cols w:space="720" w:num="1"/>
          <w:docGrid w:linePitch="312" w:charSpace="0"/>
        </w:sectPr>
      </w:pPr>
      <w:r>
        <w:rPr>
          <w:rFonts w:hint="eastAsia" w:asciiTheme="minorEastAsia" w:hAnsiTheme="minorEastAsia" w:cstheme="minorEastAsia"/>
          <w:kern w:val="0"/>
          <w:szCs w:val="21"/>
        </w:rPr>
        <w:t xml:space="preserve">                                               2018年 5 月</w:t>
      </w:r>
      <w:r>
        <w:rPr>
          <w:rFonts w:hint="eastAsia" w:asciiTheme="minorEastAsia" w:hAnsiTheme="minorEastAsia" w:cstheme="minorEastAsia"/>
          <w:kern w:val="0"/>
          <w:szCs w:val="21"/>
          <w:lang w:val="en-US" w:eastAsia="zh-CN"/>
        </w:rPr>
        <w:t>10</w:t>
      </w:r>
      <w:r>
        <w:rPr>
          <w:rFonts w:hint="eastAsia" w:asciiTheme="minorEastAsia" w:hAnsiTheme="minorEastAsia" w:cstheme="minorEastAsia"/>
          <w:kern w:val="0"/>
          <w:szCs w:val="21"/>
        </w:rPr>
        <w:t xml:space="preserve"> 日</w:t>
      </w:r>
    </w:p>
    <w:p>
      <w:pPr>
        <w:jc w:val="left"/>
        <w:rPr>
          <w:rFonts w:ascii="宋体" w:hAnsi="宋体"/>
          <w:b/>
          <w:sz w:val="24"/>
        </w:rPr>
      </w:pPr>
      <w:bookmarkStart w:id="27" w:name="_Toc8105"/>
      <w:bookmarkStart w:id="28" w:name="_Toc7008"/>
      <w:r>
        <w:rPr>
          <w:rStyle w:val="8"/>
          <w:rFonts w:hint="eastAsia"/>
        </w:rPr>
        <w:t xml:space="preserve">附表1  </w:t>
      </w:r>
      <w:bookmarkEnd w:id="27"/>
      <w:bookmarkEnd w:id="28"/>
      <w:r>
        <w:rPr>
          <w:rFonts w:hint="eastAsia" w:ascii="宋体" w:hAnsi="宋体"/>
        </w:rPr>
        <w:t xml:space="preserve">                                            </w:t>
      </w:r>
      <w:r>
        <w:rPr>
          <w:rFonts w:hint="eastAsia" w:ascii="宋体" w:hAnsi="宋体"/>
          <w:b/>
          <w:sz w:val="24"/>
        </w:rPr>
        <w:t>竞争性谈判物资包件划分表</w:t>
      </w:r>
    </w:p>
    <w:bookmarkEnd w:id="0"/>
    <w:tbl>
      <w:tblPr>
        <w:tblStyle w:val="6"/>
        <w:tblW w:w="14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1318"/>
        <w:gridCol w:w="876"/>
        <w:gridCol w:w="888"/>
        <w:gridCol w:w="936"/>
        <w:gridCol w:w="6332"/>
        <w:gridCol w:w="1240"/>
        <w:gridCol w:w="1224"/>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blHeader/>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b/>
                <w:bCs/>
                <w:szCs w:val="21"/>
              </w:rPr>
            </w:pPr>
            <w:r>
              <w:rPr>
                <w:rFonts w:hint="eastAsia" w:asciiTheme="minorEastAsia" w:hAnsiTheme="minorEastAsia" w:cstheme="minorEastAsia"/>
                <w:b/>
                <w:bCs/>
                <w:szCs w:val="21"/>
              </w:rPr>
              <w:t>序号</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b/>
                <w:bCs/>
                <w:szCs w:val="21"/>
              </w:rPr>
            </w:pPr>
            <w:r>
              <w:rPr>
                <w:rFonts w:hint="eastAsia" w:asciiTheme="minorEastAsia" w:hAnsiTheme="minorEastAsia" w:cstheme="minorEastAsia"/>
                <w:b/>
                <w:bCs/>
                <w:szCs w:val="21"/>
              </w:rPr>
              <w:t>物资</w:t>
            </w:r>
          </w:p>
          <w:p>
            <w:pPr>
              <w:spacing w:line="320" w:lineRule="exact"/>
              <w:jc w:val="center"/>
              <w:rPr>
                <w:rFonts w:asciiTheme="minorEastAsia" w:hAnsiTheme="minorEastAsia" w:cstheme="minorEastAsia"/>
                <w:b/>
                <w:bCs/>
                <w:szCs w:val="21"/>
              </w:rPr>
            </w:pPr>
            <w:r>
              <w:rPr>
                <w:rFonts w:hint="eastAsia" w:asciiTheme="minorEastAsia" w:hAnsiTheme="minorEastAsia" w:cstheme="minorEastAsia"/>
                <w:b/>
                <w:bCs/>
                <w:szCs w:val="21"/>
              </w:rPr>
              <w:t>名称</w:t>
            </w:r>
          </w:p>
        </w:tc>
        <w:tc>
          <w:tcPr>
            <w:tcW w:w="8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b/>
                <w:bCs/>
                <w:szCs w:val="21"/>
              </w:rPr>
            </w:pPr>
            <w:r>
              <w:rPr>
                <w:rFonts w:hint="eastAsia" w:asciiTheme="minorEastAsia" w:hAnsiTheme="minorEastAsia" w:cstheme="minorEastAsia"/>
                <w:b/>
                <w:bCs/>
                <w:szCs w:val="21"/>
              </w:rPr>
              <w:t>包件号</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b/>
                <w:bCs/>
                <w:szCs w:val="21"/>
              </w:rPr>
            </w:pPr>
            <w:r>
              <w:rPr>
                <w:rFonts w:hint="eastAsia" w:asciiTheme="minorEastAsia" w:hAnsiTheme="minorEastAsia" w:cstheme="minorEastAsia"/>
                <w:b/>
                <w:bCs/>
                <w:szCs w:val="21"/>
              </w:rPr>
              <w:t>计量</w:t>
            </w:r>
          </w:p>
          <w:p>
            <w:pPr>
              <w:spacing w:line="320" w:lineRule="exact"/>
              <w:jc w:val="center"/>
              <w:rPr>
                <w:rFonts w:asciiTheme="minorEastAsia" w:hAnsiTheme="minorEastAsia" w:cstheme="minorEastAsia"/>
                <w:b/>
                <w:bCs/>
                <w:szCs w:val="21"/>
              </w:rPr>
            </w:pPr>
            <w:r>
              <w:rPr>
                <w:rFonts w:hint="eastAsia" w:asciiTheme="minorEastAsia" w:hAnsiTheme="minorEastAsia" w:cstheme="minorEastAsia"/>
                <w:b/>
                <w:bCs/>
                <w:szCs w:val="21"/>
              </w:rPr>
              <w:t>单位</w:t>
            </w:r>
          </w:p>
        </w:tc>
        <w:tc>
          <w:tcPr>
            <w:tcW w:w="9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b/>
                <w:bCs/>
                <w:szCs w:val="21"/>
              </w:rPr>
            </w:pPr>
            <w:r>
              <w:rPr>
                <w:rFonts w:hint="eastAsia" w:asciiTheme="minorEastAsia" w:hAnsiTheme="minorEastAsia" w:cstheme="minorEastAsia"/>
                <w:b/>
                <w:bCs/>
                <w:szCs w:val="21"/>
              </w:rPr>
              <w:t>包件</w:t>
            </w:r>
          </w:p>
          <w:p>
            <w:pPr>
              <w:spacing w:line="320" w:lineRule="exact"/>
              <w:jc w:val="center"/>
              <w:rPr>
                <w:rFonts w:asciiTheme="minorEastAsia" w:hAnsiTheme="minorEastAsia" w:cstheme="minorEastAsia"/>
                <w:b/>
                <w:bCs/>
                <w:szCs w:val="21"/>
              </w:rPr>
            </w:pPr>
            <w:r>
              <w:rPr>
                <w:rFonts w:hint="eastAsia" w:asciiTheme="minorEastAsia" w:hAnsiTheme="minorEastAsia" w:cstheme="minorEastAsia"/>
                <w:b/>
                <w:bCs/>
                <w:szCs w:val="21"/>
              </w:rPr>
              <w:t>数量</w:t>
            </w:r>
          </w:p>
        </w:tc>
        <w:tc>
          <w:tcPr>
            <w:tcW w:w="63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b/>
                <w:bCs/>
                <w:szCs w:val="21"/>
              </w:rPr>
            </w:pPr>
            <w:r>
              <w:rPr>
                <w:rFonts w:hint="eastAsia" w:asciiTheme="minorEastAsia" w:hAnsiTheme="minorEastAsia" w:cstheme="minorEastAsia"/>
                <w:b/>
                <w:bCs/>
                <w:szCs w:val="21"/>
              </w:rPr>
              <w:t>投标人资格条件</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b/>
                <w:bCs/>
                <w:kern w:val="0"/>
                <w:szCs w:val="21"/>
              </w:rPr>
            </w:pPr>
            <w:r>
              <w:rPr>
                <w:rFonts w:hint="eastAsia" w:asciiTheme="minorEastAsia" w:hAnsiTheme="minorEastAsia" w:cstheme="minorEastAsia"/>
                <w:b/>
                <w:bCs/>
                <w:kern w:val="0"/>
                <w:szCs w:val="21"/>
              </w:rPr>
              <w:t>收货人</w:t>
            </w:r>
          </w:p>
        </w:tc>
        <w:tc>
          <w:tcPr>
            <w:tcW w:w="12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b/>
                <w:bCs/>
                <w:szCs w:val="21"/>
              </w:rPr>
            </w:pPr>
            <w:r>
              <w:rPr>
                <w:rFonts w:hint="eastAsia" w:asciiTheme="minorEastAsia" w:hAnsiTheme="minorEastAsia" w:cstheme="minorEastAsia"/>
                <w:b/>
                <w:bCs/>
                <w:kern w:val="0"/>
                <w:szCs w:val="21"/>
              </w:rPr>
              <w:t>谈判文件售价</w:t>
            </w:r>
            <w:r>
              <w:rPr>
                <w:rStyle w:val="9"/>
                <w:rFonts w:hint="default" w:asciiTheme="minorEastAsia" w:hAnsiTheme="minorEastAsia" w:eastAsiaTheme="minorEastAsia" w:cstheme="minorEastAsia"/>
                <w:b/>
                <w:bCs/>
                <w:color w:val="auto"/>
              </w:rPr>
              <w:t>(元)</w:t>
            </w:r>
          </w:p>
        </w:tc>
        <w:tc>
          <w:tcPr>
            <w:tcW w:w="9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b/>
                <w:bCs/>
                <w:szCs w:val="21"/>
              </w:rPr>
            </w:pPr>
            <w:r>
              <w:rPr>
                <w:rFonts w:hint="eastAsia" w:asciiTheme="minorEastAsia" w:hAnsiTheme="minorEastAsia" w:cstheme="minorEastAsia"/>
                <w:b/>
                <w:bCs/>
                <w:kern w:val="0"/>
                <w:szCs w:val="21"/>
              </w:rPr>
              <w:t>谈判保证金</w:t>
            </w:r>
            <w:r>
              <w:rPr>
                <w:rStyle w:val="9"/>
                <w:rFonts w:hint="default" w:asciiTheme="minorEastAsia" w:hAnsiTheme="minorEastAsia" w:eastAsiaTheme="minorEastAsia" w:cstheme="minorEastAsia"/>
                <w:b/>
                <w:bCs/>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3" w:hRule="exact"/>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1</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盘扣式脚手架</w:t>
            </w:r>
          </w:p>
        </w:tc>
        <w:tc>
          <w:tcPr>
            <w:tcW w:w="876" w:type="dxa"/>
            <w:tcBorders>
              <w:top w:val="single" w:color="auto" w:sz="4" w:space="0"/>
              <w:left w:val="single" w:color="auto" w:sz="4" w:space="0"/>
              <w:right w:val="single" w:color="auto" w:sz="4" w:space="0"/>
            </w:tcBorders>
            <w:vAlign w:val="center"/>
          </w:tcPr>
          <w:p>
            <w:pPr>
              <w:spacing w:line="32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PK-01</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吨</w:t>
            </w:r>
          </w:p>
        </w:tc>
        <w:tc>
          <w:tcPr>
            <w:tcW w:w="9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sz w:val="18"/>
                <w:szCs w:val="18"/>
              </w:rPr>
              <w:t>500</w:t>
            </w:r>
          </w:p>
        </w:tc>
        <w:tc>
          <w:tcPr>
            <w:tcW w:w="6332" w:type="dxa"/>
            <w:tcBorders>
              <w:top w:val="single" w:color="auto" w:sz="4" w:space="0"/>
              <w:left w:val="single" w:color="auto" w:sz="4" w:space="0"/>
              <w:right w:val="single" w:color="auto" w:sz="4" w:space="0"/>
            </w:tcBorders>
            <w:vAlign w:val="center"/>
          </w:tcPr>
          <w:p>
            <w:pPr>
              <w:spacing w:line="320" w:lineRule="exact"/>
              <w:jc w:val="left"/>
              <w:rPr>
                <w:rFonts w:asciiTheme="minorEastAsia" w:hAnsiTheme="minorEastAsia" w:cstheme="minorEastAsia"/>
                <w:sz w:val="18"/>
                <w:szCs w:val="18"/>
              </w:rPr>
            </w:pPr>
            <w:r>
              <w:rPr>
                <w:rFonts w:hint="eastAsia" w:asciiTheme="minorEastAsia" w:hAnsiTheme="minorEastAsia" w:cstheme="minorEastAsia"/>
                <w:sz w:val="18"/>
                <w:szCs w:val="18"/>
              </w:rPr>
              <w:t>1.生产能力：投标产品生产厂须具备相应的生产能力，生产工艺、装备必须符合国家相关产业发展政策的相关规定，具有效的投标产品全国工业产品生产许可证。</w:t>
            </w:r>
          </w:p>
          <w:p>
            <w:pPr>
              <w:spacing w:line="320" w:lineRule="exact"/>
              <w:jc w:val="left"/>
              <w:rPr>
                <w:rFonts w:asciiTheme="minorEastAsia" w:hAnsiTheme="minorEastAsia" w:cstheme="minorEastAsia"/>
                <w:sz w:val="18"/>
                <w:szCs w:val="18"/>
              </w:rPr>
            </w:pPr>
            <w:r>
              <w:rPr>
                <w:rFonts w:hint="eastAsia" w:asciiTheme="minorEastAsia" w:hAnsiTheme="minorEastAsia" w:cstheme="minorEastAsia"/>
                <w:sz w:val="18"/>
                <w:szCs w:val="18"/>
              </w:rPr>
              <w:t>2.财务能力：</w:t>
            </w:r>
            <w:r>
              <w:rPr>
                <w:rFonts w:hint="eastAsia" w:asciiTheme="minorEastAsia" w:hAnsiTheme="minorEastAsia" w:cstheme="minorEastAsia"/>
                <w:sz w:val="18"/>
                <w:szCs w:val="18"/>
                <w:lang w:val="en-US" w:eastAsia="zh-CN"/>
              </w:rPr>
              <w:t>生产厂商</w:t>
            </w:r>
            <w:r>
              <w:rPr>
                <w:rFonts w:hint="eastAsia" w:asciiTheme="minorEastAsia" w:hAnsiTheme="minorEastAsia" w:cstheme="minorEastAsia"/>
                <w:sz w:val="18"/>
                <w:szCs w:val="18"/>
              </w:rPr>
              <w:t>注册资金不低于1000万人民币，具有近一年经会计师事务所或审计机构审计的财务会计报表。</w:t>
            </w:r>
          </w:p>
          <w:p>
            <w:pPr>
              <w:spacing w:line="320" w:lineRule="exact"/>
              <w:jc w:val="left"/>
              <w:rPr>
                <w:rFonts w:asciiTheme="minorEastAsia" w:hAnsiTheme="minorEastAsia" w:cstheme="minorEastAsia"/>
                <w:sz w:val="18"/>
                <w:szCs w:val="18"/>
              </w:rPr>
            </w:pPr>
            <w:r>
              <w:rPr>
                <w:rFonts w:hint="eastAsia" w:asciiTheme="minorEastAsia" w:hAnsiTheme="minorEastAsia" w:cstheme="minorEastAsia"/>
                <w:sz w:val="18"/>
                <w:szCs w:val="18"/>
              </w:rPr>
              <w:t>3.质量保证能力：被邀请谈判供应商需提供ISO9000质量管理体系认证，产品符合国家现行标准，具有近两年由省、部级及以上检验、检测机构出具的投标物资有效合格的质量检验报告。</w:t>
            </w:r>
          </w:p>
          <w:p>
            <w:pPr>
              <w:spacing w:line="320" w:lineRule="exact"/>
              <w:jc w:val="left"/>
              <w:rPr>
                <w:rFonts w:asciiTheme="minorEastAsia" w:hAnsiTheme="minorEastAsia" w:cstheme="minorEastAsia"/>
                <w:sz w:val="18"/>
                <w:szCs w:val="18"/>
              </w:rPr>
            </w:pPr>
            <w:r>
              <w:rPr>
                <w:rFonts w:hint="eastAsia" w:asciiTheme="minorEastAsia" w:hAnsiTheme="minorEastAsia" w:cstheme="minorEastAsia"/>
                <w:sz w:val="18"/>
                <w:szCs w:val="18"/>
              </w:rPr>
              <w:t>4.其他要求：</w:t>
            </w:r>
            <w:r>
              <w:rPr>
                <w:rFonts w:hint="eastAsia" w:asciiTheme="minorEastAsia" w:hAnsiTheme="minorEastAsia" w:cstheme="minorEastAsia"/>
                <w:sz w:val="18"/>
                <w:szCs w:val="18"/>
                <w:lang w:val="en-US" w:eastAsia="zh-CN"/>
              </w:rPr>
              <w:t>不允许代理商投标</w:t>
            </w:r>
            <w:r>
              <w:rPr>
                <w:rFonts w:hint="eastAsia" w:asciiTheme="minorEastAsia" w:hAnsiTheme="minorEastAsia" w:cstheme="minorEastAsia"/>
                <w:sz w:val="18"/>
                <w:szCs w:val="18"/>
              </w:rPr>
              <w:t>；生产厂应具备跨地域供应、集散能力。</w:t>
            </w:r>
          </w:p>
        </w:tc>
        <w:tc>
          <w:tcPr>
            <w:tcW w:w="1240" w:type="dxa"/>
            <w:tcBorders>
              <w:top w:val="single" w:color="auto" w:sz="4" w:space="0"/>
              <w:left w:val="single" w:color="auto" w:sz="4" w:space="0"/>
              <w:right w:val="single" w:color="auto" w:sz="4" w:space="0"/>
            </w:tcBorders>
            <w:vAlign w:val="center"/>
          </w:tcPr>
          <w:p>
            <w:pPr>
              <w:spacing w:line="32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中铁四局集团四公司合肥地铁五号线项目部</w:t>
            </w:r>
          </w:p>
        </w:tc>
        <w:tc>
          <w:tcPr>
            <w:tcW w:w="1224"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300</w:t>
            </w:r>
          </w:p>
        </w:tc>
        <w:tc>
          <w:tcPr>
            <w:tcW w:w="947" w:type="dxa"/>
            <w:tcBorders>
              <w:top w:val="single" w:color="auto" w:sz="4" w:space="0"/>
              <w:left w:val="single" w:color="auto" w:sz="4" w:space="0"/>
              <w:right w:val="single" w:color="auto" w:sz="4" w:space="0"/>
            </w:tcBorders>
            <w:vAlign w:val="center"/>
          </w:tcPr>
          <w:p>
            <w:pPr>
              <w:spacing w:line="320" w:lineRule="exact"/>
              <w:ind w:firstLine="325" w:firstLineChars="181"/>
              <w:rPr>
                <w:rFonts w:hint="eastAsia" w:asciiTheme="minorEastAsia" w:hAnsiTheme="minorEastAsia" w:eastAsiaTheme="minorEastAsia" w:cstheme="minorEastAsia"/>
                <w:sz w:val="18"/>
                <w:szCs w:val="18"/>
                <w:lang w:val="en-US" w:eastAsia="zh-CN"/>
              </w:rPr>
            </w:pPr>
            <w:r>
              <w:rPr>
                <w:rFonts w:hint="eastAsia" w:asciiTheme="minorEastAsia" w:hAnsiTheme="minorEastAsia" w:cstheme="minorEastAsia"/>
                <w:sz w:val="18"/>
                <w:szCs w:val="18"/>
                <w:lang w:val="en-US" w:eastAsia="zh-CN"/>
              </w:rPr>
              <w:t>5</w:t>
            </w:r>
          </w:p>
        </w:tc>
      </w:tr>
    </w:tbl>
    <w:p>
      <w:pPr>
        <w:spacing w:line="360" w:lineRule="auto"/>
        <w:rPr>
          <w:rFonts w:asciiTheme="majorEastAsia" w:hAnsiTheme="majorEastAsia" w:eastAsiaTheme="majorEastAsia" w:cstheme="majorEastAsia"/>
          <w:sz w:val="28"/>
          <w:szCs w:val="28"/>
        </w:rPr>
        <w:sectPr>
          <w:pgSz w:w="16838" w:h="11906" w:orient="landscape"/>
          <w:pgMar w:top="1417" w:right="1440" w:bottom="1417" w:left="1418" w:header="851" w:footer="952" w:gutter="0"/>
          <w:cols w:space="0" w:num="1"/>
          <w:docGrid w:type="lines" w:linePitch="324" w:charSpace="0"/>
        </w:sectPr>
      </w:pPr>
      <w:r>
        <w:rPr>
          <w:rFonts w:hint="eastAsia" w:ascii="宋体" w:hAnsi="宋体"/>
        </w:rPr>
        <w:t>注：本次竞争性谈判物资的具体规格、交货地点、需求时间详见竞争性谈判文件。</w:t>
      </w:r>
    </w:p>
    <w:p/>
    <w:p>
      <w:pPr>
        <w:pStyle w:val="2"/>
        <w:rPr>
          <w:rStyle w:val="8"/>
          <w:b/>
          <w:bCs/>
          <w:szCs w:val="22"/>
        </w:rPr>
      </w:pPr>
      <w:bookmarkStart w:id="29" w:name="_Toc28014"/>
      <w:bookmarkStart w:id="30" w:name="_Toc15751"/>
      <w:bookmarkStart w:id="31" w:name="_Toc448788420"/>
      <w:bookmarkStart w:id="32" w:name="_Toc2148"/>
      <w:bookmarkStart w:id="33" w:name="_Toc19296"/>
      <w:bookmarkStart w:id="34" w:name="_Toc8160"/>
      <w:bookmarkStart w:id="35" w:name="_Toc457296517"/>
      <w:bookmarkStart w:id="36" w:name="_Toc14970"/>
      <w:r>
        <w:rPr>
          <w:rStyle w:val="8"/>
          <w:rFonts w:hint="eastAsia"/>
          <w:b/>
          <w:bCs/>
          <w:szCs w:val="22"/>
        </w:rPr>
        <w:t>附件</w:t>
      </w:r>
      <w:bookmarkEnd w:id="29"/>
      <w:bookmarkEnd w:id="30"/>
      <w:bookmarkEnd w:id="31"/>
      <w:bookmarkEnd w:id="32"/>
      <w:bookmarkEnd w:id="33"/>
      <w:bookmarkEnd w:id="34"/>
      <w:bookmarkEnd w:id="35"/>
      <w:r>
        <w:rPr>
          <w:rStyle w:val="8"/>
          <w:rFonts w:hint="eastAsia"/>
          <w:b/>
          <w:bCs/>
          <w:szCs w:val="22"/>
        </w:rPr>
        <w:t>2</w:t>
      </w:r>
      <w:bookmarkEnd w:id="36"/>
    </w:p>
    <w:p>
      <w:pPr>
        <w:jc w:val="center"/>
        <w:rPr>
          <w:b/>
          <w:sz w:val="30"/>
          <w:szCs w:val="30"/>
        </w:rPr>
      </w:pPr>
      <w:bookmarkStart w:id="37" w:name="_Toc413693241"/>
      <w:bookmarkEnd w:id="37"/>
      <w:bookmarkStart w:id="38" w:name="_Toc448788421"/>
      <w:r>
        <w:rPr>
          <w:rFonts w:hint="eastAsia"/>
          <w:b/>
          <w:sz w:val="30"/>
          <w:szCs w:val="30"/>
        </w:rPr>
        <w:t>竞争性谈判邀请书确认函</w:t>
      </w:r>
      <w:bookmarkEnd w:id="38"/>
    </w:p>
    <w:p>
      <w:pPr>
        <w:widowControl/>
        <w:shd w:val="clear" w:color="auto" w:fill="FFFFFF"/>
        <w:spacing w:line="360" w:lineRule="auto"/>
        <w:jc w:val="left"/>
        <w:rPr>
          <w:sz w:val="24"/>
        </w:rPr>
      </w:pPr>
    </w:p>
    <w:p>
      <w:pPr>
        <w:widowControl/>
        <w:shd w:val="clear" w:color="auto" w:fill="FFFFFF"/>
        <w:spacing w:line="360" w:lineRule="auto"/>
        <w:jc w:val="left"/>
        <w:rPr>
          <w:sz w:val="24"/>
        </w:rPr>
      </w:pPr>
    </w:p>
    <w:p>
      <w:pPr>
        <w:widowControl/>
        <w:shd w:val="clear" w:color="auto" w:fill="FFFFFF"/>
        <w:spacing w:line="360" w:lineRule="auto"/>
        <w:jc w:val="left"/>
        <w:rPr>
          <w:rFonts w:asciiTheme="minorEastAsia" w:hAnsiTheme="minorEastAsia" w:cstheme="minorEastAsia"/>
          <w:szCs w:val="21"/>
        </w:rPr>
      </w:pPr>
      <w:r>
        <w:rPr>
          <w:rFonts w:hint="eastAsia" w:asciiTheme="minorEastAsia" w:hAnsiTheme="minorEastAsia" w:cstheme="minorEastAsia"/>
          <w:szCs w:val="21"/>
        </w:rPr>
        <w:t>致：中铁四局集团有限公司XX项目部</w:t>
      </w:r>
    </w:p>
    <w:p>
      <w:pPr>
        <w:widowControl/>
        <w:spacing w:line="360" w:lineRule="auto"/>
        <w:rPr>
          <w:rFonts w:asciiTheme="minorEastAsia" w:hAnsiTheme="minorEastAsia" w:cstheme="minorEastAsia"/>
          <w:szCs w:val="21"/>
        </w:rPr>
      </w:pPr>
      <w:r>
        <w:rPr>
          <w:rFonts w:hint="eastAsia" w:asciiTheme="minorEastAsia" w:hAnsiTheme="minorEastAsia" w:cstheme="minorEastAsia"/>
          <w:szCs w:val="21"/>
        </w:rPr>
        <w:t xml:space="preserve">     </w:t>
      </w:r>
    </w:p>
    <w:p>
      <w:pPr>
        <w:tabs>
          <w:tab w:val="left" w:pos="4065"/>
        </w:tabs>
        <w:snapToGrid w:val="0"/>
        <w:spacing w:line="360" w:lineRule="auto"/>
        <w:rPr>
          <w:rFonts w:asciiTheme="minorEastAsia" w:hAnsiTheme="minorEastAsia" w:cstheme="minorEastAsia"/>
          <w:szCs w:val="21"/>
        </w:rPr>
      </w:pPr>
      <w:r>
        <w:rPr>
          <w:rFonts w:hint="eastAsia" w:asciiTheme="minorEastAsia" w:hAnsiTheme="minorEastAsia" w:cstheme="minorEastAsia"/>
          <w:szCs w:val="21"/>
        </w:rPr>
        <w:t xml:space="preserve">    我方已收到贵单位的盘扣脚手架竞争性谈判邀请书（文件编号</w:t>
      </w:r>
      <w:r>
        <w:rPr>
          <w:rFonts w:hint="eastAsia" w:ascii="宋体" w:hAnsi="宋体" w:eastAsia="宋体" w:cs="宋体"/>
          <w:szCs w:val="21"/>
          <w:lang w:eastAsia="zh-CN"/>
        </w:rPr>
        <w:t>ZTSJSGS-TPCG018006</w:t>
      </w:r>
      <w:r>
        <w:rPr>
          <w:rFonts w:hint="eastAsia" w:asciiTheme="minorEastAsia" w:hAnsiTheme="minorEastAsia" w:cstheme="minorEastAsia"/>
          <w:szCs w:val="21"/>
        </w:rPr>
        <w:t>），愿意参与此次竞争性谈判，请贵单位将竞争性谈判文件发送至我方电子邮箱</w:t>
      </w:r>
      <w:r>
        <w:rPr>
          <w:rFonts w:hint="eastAsia" w:asciiTheme="minorEastAsia" w:hAnsiTheme="minorEastAsia" w:cstheme="minorEastAsia"/>
          <w:szCs w:val="21"/>
          <w:u w:val="single"/>
        </w:rPr>
        <w:t xml:space="preserve">                  </w:t>
      </w:r>
      <w:r>
        <w:rPr>
          <w:rFonts w:hint="eastAsia" w:asciiTheme="minorEastAsia" w:hAnsiTheme="minorEastAsia" w:cstheme="minorEastAsia"/>
          <w:szCs w:val="21"/>
        </w:rPr>
        <w:t>。</w:t>
      </w:r>
    </w:p>
    <w:p>
      <w:pPr>
        <w:widowControl/>
        <w:spacing w:line="360" w:lineRule="auto"/>
        <w:ind w:firstLine="480" w:firstLineChars="200"/>
        <w:rPr>
          <w:sz w:val="24"/>
        </w:rPr>
      </w:pPr>
    </w:p>
    <w:p>
      <w:pPr>
        <w:widowControl/>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特此确认！</w:t>
      </w:r>
    </w:p>
    <w:p>
      <w:pPr>
        <w:widowControl/>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w:t>
      </w:r>
    </w:p>
    <w:p>
      <w:pPr>
        <w:widowControl/>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联系人：                                 </w:t>
      </w:r>
    </w:p>
    <w:p>
      <w:pPr>
        <w:widowControl/>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电  话：            </w:t>
      </w:r>
    </w:p>
    <w:p>
      <w:pPr>
        <w:widowControl/>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             </w:t>
      </w:r>
    </w:p>
    <w:p>
      <w:pPr>
        <w:widowControl/>
        <w:spacing w:line="360" w:lineRule="auto"/>
        <w:rPr>
          <w:rFonts w:asciiTheme="minorEastAsia" w:hAnsiTheme="minorEastAsia" w:cstheme="minorEastAsia"/>
          <w:szCs w:val="21"/>
        </w:rPr>
      </w:pPr>
      <w:r>
        <w:rPr>
          <w:rFonts w:hint="eastAsia" w:asciiTheme="minorEastAsia" w:hAnsiTheme="minorEastAsia" w:cstheme="minorEastAsia"/>
          <w:szCs w:val="21"/>
        </w:rPr>
        <w:t xml:space="preserve">                                                  单位名称：（盖章）</w:t>
      </w:r>
    </w:p>
    <w:p>
      <w:pPr>
        <w:widowControl/>
        <w:spacing w:line="360" w:lineRule="auto"/>
        <w:rPr>
          <w:rFonts w:asciiTheme="minorEastAsia" w:hAnsiTheme="minorEastAsia" w:cstheme="minorEastAsia"/>
          <w:szCs w:val="21"/>
        </w:rPr>
      </w:pPr>
      <w:r>
        <w:rPr>
          <w:rFonts w:hint="eastAsia" w:asciiTheme="minorEastAsia" w:hAnsiTheme="minorEastAsia" w:cstheme="minorEastAsia"/>
          <w:szCs w:val="21"/>
        </w:rPr>
        <w:t xml:space="preserve">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674E9"/>
    <w:rsid w:val="141674E9"/>
    <w:rsid w:val="1804383D"/>
    <w:rsid w:val="1FDE653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8"/>
    <w:unhideWhenUsed/>
    <w:qFormat/>
    <w:uiPriority w:val="0"/>
    <w:pPr>
      <w:keepNext/>
      <w:keepLines/>
      <w:snapToGrid w:val="0"/>
      <w:spacing w:line="360" w:lineRule="auto"/>
      <w:outlineLvl w:val="1"/>
    </w:pPr>
    <w:rPr>
      <w:rFonts w:ascii="宋体" w:hAnsi="宋体"/>
      <w:b/>
      <w:bCs/>
      <w:sz w:val="24"/>
    </w:rPr>
  </w:style>
  <w:style w:type="paragraph" w:styleId="3">
    <w:name w:val="heading 3"/>
    <w:basedOn w:val="1"/>
    <w:next w:val="1"/>
    <w:link w:val="7"/>
    <w:unhideWhenUsed/>
    <w:qFormat/>
    <w:uiPriority w:val="0"/>
    <w:pPr>
      <w:keepNext/>
      <w:keepLines/>
      <w:spacing w:line="360" w:lineRule="auto"/>
      <w:ind w:firstLine="720" w:firstLineChars="200"/>
      <w:jc w:val="left"/>
      <w:outlineLvl w:val="2"/>
    </w:pPr>
    <w:rPr>
      <w:rFonts w:ascii="宋体" w:hAnsi="宋体"/>
      <w:b/>
      <w:bCs/>
      <w:sz w:val="24"/>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标题 3 Char"/>
    <w:basedOn w:val="5"/>
    <w:link w:val="3"/>
    <w:qFormat/>
    <w:locked/>
    <w:uiPriority w:val="9"/>
    <w:rPr>
      <w:rFonts w:ascii="宋体" w:hAnsi="宋体"/>
      <w:b/>
      <w:bCs/>
      <w:sz w:val="24"/>
    </w:rPr>
  </w:style>
  <w:style w:type="character" w:customStyle="1" w:styleId="8">
    <w:name w:val="标题 2 Char"/>
    <w:link w:val="2"/>
    <w:qFormat/>
    <w:locked/>
    <w:uiPriority w:val="0"/>
    <w:rPr>
      <w:rFonts w:ascii="宋体" w:hAnsi="宋体"/>
      <w:b/>
      <w:bCs/>
      <w:sz w:val="24"/>
    </w:rPr>
  </w:style>
  <w:style w:type="character" w:customStyle="1" w:styleId="9">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2018-05-11T01:37:00Z</dcterms:created>
  <dc:creator>∥:路亽曱</dc:creator>
  <cp:lastModifiedBy>∥:路亽曱</cp:lastModifiedBy>
  <dcterms:modified xsi:type="dcterms:W3CDTF">2018-05-14T07:26:16Z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