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both"/>
        <w:rPr>
          <w:rFonts w:ascii="黑体" w:hAnsi="黑体" w:eastAsia="黑体" w:cs="Times New Roman"/>
          <w:sz w:val="28"/>
          <w:szCs w:val="28"/>
        </w:rPr>
      </w:pPr>
      <w:r>
        <w:rPr>
          <w:rFonts w:ascii="黑体" w:hAnsi="黑体" w:eastAsia="黑体" w:cs="Times New Roman"/>
          <w:sz w:val="28"/>
          <w:szCs w:val="28"/>
        </w:rPr>
        <w:t>附件</w:t>
      </w:r>
      <w:r>
        <w:rPr>
          <w:rFonts w:hint="eastAsia" w:ascii="黑体" w:hAnsi="黑体" w:eastAsia="黑体" w:cs="Times New Roman"/>
          <w:sz w:val="28"/>
          <w:szCs w:val="28"/>
        </w:rPr>
        <w:t>1：</w:t>
      </w:r>
    </w:p>
    <w:p>
      <w:pPr>
        <w:spacing w:line="560" w:lineRule="exact"/>
        <w:jc w:val="center"/>
        <w:rPr>
          <w:rFonts w:ascii="黑体" w:hAnsi="黑体" w:eastAsia="黑体" w:cs="Times New Roman"/>
          <w:b/>
          <w:sz w:val="28"/>
          <w:szCs w:val="28"/>
        </w:rPr>
      </w:pPr>
      <w:r>
        <w:rPr>
          <w:rFonts w:hint="eastAsia" w:ascii="黑体" w:hAnsi="黑体" w:eastAsia="黑体" w:cs="Times New Roman"/>
          <w:b/>
          <w:sz w:val="28"/>
          <w:szCs w:val="28"/>
        </w:rPr>
        <w:t>招聘岗位及任职条件</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5670"/>
        <w:gridCol w:w="99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560" w:lineRule="exact"/>
              <w:jc w:val="center"/>
              <w:rPr>
                <w:rFonts w:ascii="华文仿宋" w:hAnsi="华文仿宋" w:eastAsia="华文仿宋" w:cs="Times New Roman"/>
                <w:b/>
                <w:sz w:val="28"/>
                <w:szCs w:val="28"/>
              </w:rPr>
            </w:pPr>
            <w:r>
              <w:rPr>
                <w:rFonts w:ascii="华文仿宋" w:hAnsi="华文仿宋" w:eastAsia="华文仿宋" w:cs="Times New Roman"/>
                <w:b/>
                <w:sz w:val="28"/>
                <w:szCs w:val="28"/>
              </w:rPr>
              <w:t>序号</w:t>
            </w:r>
          </w:p>
        </w:tc>
        <w:tc>
          <w:tcPr>
            <w:tcW w:w="1560" w:type="dxa"/>
            <w:vAlign w:val="center"/>
          </w:tcPr>
          <w:p>
            <w:pPr>
              <w:spacing w:line="560" w:lineRule="exact"/>
              <w:jc w:val="center"/>
              <w:rPr>
                <w:rFonts w:ascii="华文仿宋" w:hAnsi="华文仿宋" w:eastAsia="华文仿宋" w:cs="Times New Roman"/>
                <w:b/>
                <w:sz w:val="28"/>
                <w:szCs w:val="28"/>
              </w:rPr>
            </w:pPr>
            <w:r>
              <w:rPr>
                <w:rFonts w:ascii="华文仿宋" w:hAnsi="华文仿宋" w:eastAsia="华文仿宋" w:cs="Times New Roman"/>
                <w:b/>
                <w:sz w:val="28"/>
                <w:szCs w:val="28"/>
              </w:rPr>
              <w:t>招聘岗位</w:t>
            </w:r>
          </w:p>
        </w:tc>
        <w:tc>
          <w:tcPr>
            <w:tcW w:w="5670" w:type="dxa"/>
            <w:vAlign w:val="center"/>
          </w:tcPr>
          <w:p>
            <w:pPr>
              <w:spacing w:line="560" w:lineRule="exact"/>
              <w:jc w:val="center"/>
              <w:rPr>
                <w:rFonts w:ascii="华文仿宋" w:hAnsi="华文仿宋" w:eastAsia="华文仿宋" w:cs="Times New Roman"/>
                <w:b/>
                <w:sz w:val="28"/>
                <w:szCs w:val="28"/>
              </w:rPr>
            </w:pPr>
            <w:r>
              <w:rPr>
                <w:rFonts w:ascii="华文仿宋" w:hAnsi="华文仿宋" w:eastAsia="华文仿宋" w:cs="Times New Roman"/>
                <w:b/>
                <w:sz w:val="28"/>
                <w:szCs w:val="28"/>
              </w:rPr>
              <w:t>任职条件</w:t>
            </w:r>
          </w:p>
        </w:tc>
        <w:tc>
          <w:tcPr>
            <w:tcW w:w="992" w:type="dxa"/>
            <w:vAlign w:val="center"/>
          </w:tcPr>
          <w:p>
            <w:pPr>
              <w:spacing w:line="560" w:lineRule="exact"/>
              <w:jc w:val="center"/>
              <w:rPr>
                <w:rFonts w:ascii="华文仿宋" w:hAnsi="华文仿宋" w:eastAsia="华文仿宋" w:cs="Times New Roman"/>
                <w:b/>
                <w:sz w:val="28"/>
                <w:szCs w:val="28"/>
              </w:rPr>
            </w:pPr>
            <w:r>
              <w:rPr>
                <w:rFonts w:ascii="华文仿宋" w:hAnsi="华文仿宋" w:eastAsia="华文仿宋" w:cs="Times New Roman"/>
                <w:b/>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08" w:hRule="atLeast"/>
        </w:trPr>
        <w:tc>
          <w:tcPr>
            <w:tcW w:w="675" w:type="dxa"/>
            <w:vAlign w:val="center"/>
          </w:tcPr>
          <w:p>
            <w:pPr>
              <w:spacing w:line="560" w:lineRule="exact"/>
              <w:jc w:val="center"/>
              <w:rPr>
                <w:rFonts w:ascii="华文仿宋" w:hAnsi="华文仿宋" w:eastAsia="华文仿宋" w:cs="Times New Roman"/>
                <w:sz w:val="28"/>
                <w:szCs w:val="28"/>
              </w:rPr>
            </w:pPr>
            <w:r>
              <w:rPr>
                <w:rFonts w:hint="eastAsia" w:ascii="华文仿宋" w:hAnsi="华文仿宋" w:eastAsia="华文仿宋" w:cs="Times New Roman"/>
                <w:sz w:val="28"/>
                <w:szCs w:val="28"/>
              </w:rPr>
              <w:t>1</w:t>
            </w:r>
          </w:p>
        </w:tc>
        <w:tc>
          <w:tcPr>
            <w:tcW w:w="1560" w:type="dxa"/>
            <w:vAlign w:val="center"/>
          </w:tcPr>
          <w:p>
            <w:pPr>
              <w:spacing w:line="560" w:lineRule="exact"/>
              <w:jc w:val="center"/>
              <w:rPr>
                <w:rFonts w:ascii="华文仿宋" w:hAnsi="华文仿宋" w:eastAsia="华文仿宋" w:cs="Times New Roman"/>
                <w:sz w:val="28"/>
                <w:szCs w:val="28"/>
              </w:rPr>
            </w:pPr>
            <w:r>
              <w:rPr>
                <w:rFonts w:ascii="华文仿宋" w:hAnsi="华文仿宋" w:eastAsia="华文仿宋" w:cs="Times New Roman"/>
                <w:sz w:val="28"/>
                <w:szCs w:val="28"/>
              </w:rPr>
              <w:t>科长</w:t>
            </w:r>
          </w:p>
        </w:tc>
        <w:tc>
          <w:tcPr>
            <w:tcW w:w="5670" w:type="dxa"/>
            <w:vAlign w:val="center"/>
          </w:tcPr>
          <w:p>
            <w:pPr>
              <w:pStyle w:val="10"/>
              <w:spacing w:line="560" w:lineRule="exact"/>
              <w:jc w:val="both"/>
              <w:rPr>
                <w:rFonts w:ascii="华文仿宋" w:hAnsi="华文仿宋" w:eastAsia="华文仿宋" w:cs="仿宋_GB2312"/>
                <w:color w:val="auto"/>
                <w:sz w:val="28"/>
                <w:szCs w:val="28"/>
              </w:rPr>
            </w:pPr>
            <w:r>
              <w:rPr>
                <w:rFonts w:hint="eastAsia" w:ascii="华文仿宋" w:hAnsi="华文仿宋" w:eastAsia="华文仿宋" w:cs="仿宋_GB2312"/>
                <w:color w:val="auto"/>
                <w:sz w:val="28"/>
                <w:szCs w:val="28"/>
              </w:rPr>
              <w:t>1.</w:t>
            </w:r>
            <w:r>
              <w:rPr>
                <w:rFonts w:ascii="华文仿宋" w:hAnsi="华文仿宋" w:eastAsia="华文仿宋" w:cs="仿宋_GB2312"/>
                <w:color w:val="auto"/>
                <w:sz w:val="28"/>
                <w:szCs w:val="28"/>
              </w:rPr>
              <w:t>应聘科长岗位的局总部员工，须在局总部一级职员岗位任职</w:t>
            </w:r>
            <w:r>
              <w:rPr>
                <w:rFonts w:hint="eastAsia" w:ascii="华文仿宋" w:hAnsi="华文仿宋" w:eastAsia="华文仿宋" w:cs="仿宋_GB2312"/>
                <w:color w:val="auto"/>
                <w:sz w:val="28"/>
                <w:szCs w:val="28"/>
              </w:rPr>
              <w:t>2年及以上（2020年局总部机构改革前任副科职时间可纳入计算）；</w:t>
            </w:r>
          </w:p>
          <w:p>
            <w:pPr>
              <w:pStyle w:val="10"/>
              <w:spacing w:line="560" w:lineRule="exact"/>
              <w:jc w:val="both"/>
              <w:rPr>
                <w:rFonts w:ascii="华文仿宋" w:hAnsi="华文仿宋" w:eastAsia="华文仿宋" w:cs="Times New Roman"/>
                <w:sz w:val="28"/>
                <w:szCs w:val="28"/>
              </w:rPr>
            </w:pPr>
            <w:r>
              <w:rPr>
                <w:rFonts w:hint="eastAsia" w:ascii="华文仿宋" w:hAnsi="华文仿宋" w:eastAsia="华文仿宋" w:cs="仿宋_GB2312"/>
                <w:color w:val="auto"/>
                <w:sz w:val="28"/>
                <w:szCs w:val="28"/>
              </w:rPr>
              <w:t>2.应聘科长岗位的局属各单位员工，须在局属各单位中层副职及以上岗位任职2年及以上。</w:t>
            </w:r>
          </w:p>
        </w:tc>
        <w:tc>
          <w:tcPr>
            <w:tcW w:w="992" w:type="dxa"/>
            <w:vAlign w:val="center"/>
          </w:tcPr>
          <w:p>
            <w:pPr>
              <w:spacing w:line="560" w:lineRule="exact"/>
              <w:jc w:val="center"/>
              <w:rPr>
                <w:rFonts w:ascii="华文仿宋" w:hAnsi="华文仿宋" w:eastAsia="华文仿宋"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560" w:lineRule="exact"/>
              <w:jc w:val="center"/>
              <w:rPr>
                <w:rFonts w:ascii="华文仿宋" w:hAnsi="华文仿宋" w:eastAsia="华文仿宋" w:cs="Times New Roman"/>
                <w:sz w:val="28"/>
                <w:szCs w:val="28"/>
              </w:rPr>
            </w:pPr>
            <w:r>
              <w:rPr>
                <w:rFonts w:hint="eastAsia" w:ascii="华文仿宋" w:hAnsi="华文仿宋" w:eastAsia="华文仿宋" w:cs="Times New Roman"/>
                <w:sz w:val="28"/>
                <w:szCs w:val="28"/>
              </w:rPr>
              <w:t>2</w:t>
            </w:r>
          </w:p>
        </w:tc>
        <w:tc>
          <w:tcPr>
            <w:tcW w:w="1560" w:type="dxa"/>
            <w:vAlign w:val="center"/>
          </w:tcPr>
          <w:p>
            <w:pPr>
              <w:spacing w:line="560" w:lineRule="exact"/>
              <w:jc w:val="center"/>
              <w:rPr>
                <w:rFonts w:ascii="华文仿宋" w:hAnsi="华文仿宋" w:eastAsia="华文仿宋" w:cs="Times New Roman"/>
                <w:sz w:val="28"/>
                <w:szCs w:val="28"/>
              </w:rPr>
            </w:pPr>
            <w:r>
              <w:rPr>
                <w:rFonts w:ascii="华文仿宋" w:hAnsi="华文仿宋" w:eastAsia="华文仿宋" w:cs="Times New Roman"/>
                <w:sz w:val="28"/>
                <w:szCs w:val="28"/>
              </w:rPr>
              <w:t>一级职员</w:t>
            </w:r>
          </w:p>
        </w:tc>
        <w:tc>
          <w:tcPr>
            <w:tcW w:w="5670" w:type="dxa"/>
            <w:vAlign w:val="center"/>
          </w:tcPr>
          <w:p>
            <w:pPr>
              <w:pStyle w:val="10"/>
              <w:spacing w:line="560" w:lineRule="exact"/>
              <w:jc w:val="both"/>
              <w:rPr>
                <w:rFonts w:ascii="华文仿宋" w:hAnsi="华文仿宋" w:eastAsia="华文仿宋" w:cs="仿宋_GB2312"/>
                <w:color w:val="auto"/>
                <w:sz w:val="28"/>
                <w:szCs w:val="28"/>
              </w:rPr>
            </w:pPr>
            <w:r>
              <w:rPr>
                <w:rFonts w:hint="eastAsia" w:ascii="华文仿宋" w:hAnsi="华文仿宋" w:eastAsia="华文仿宋" w:cs="仿宋_GB2312"/>
                <w:color w:val="auto"/>
                <w:sz w:val="28"/>
                <w:szCs w:val="28"/>
              </w:rPr>
              <w:t>1.应聘一级职员岗位的局总部员工，应在局总部二级职员岗位任职2年及以上（2020年局总部机构改革前任职时间可纳入计算）；</w:t>
            </w:r>
          </w:p>
          <w:p>
            <w:pPr>
              <w:pStyle w:val="10"/>
              <w:spacing w:line="560" w:lineRule="exact"/>
              <w:jc w:val="both"/>
              <w:rPr>
                <w:rFonts w:ascii="华文仿宋" w:hAnsi="华文仿宋" w:eastAsia="华文仿宋" w:cs="Times New Roman"/>
                <w:sz w:val="28"/>
                <w:szCs w:val="28"/>
              </w:rPr>
            </w:pPr>
            <w:r>
              <w:rPr>
                <w:rFonts w:hint="eastAsia" w:ascii="华文仿宋" w:hAnsi="华文仿宋" w:eastAsia="华文仿宋" w:cs="仿宋_GB2312"/>
                <w:color w:val="auto"/>
                <w:sz w:val="28"/>
                <w:szCs w:val="28"/>
              </w:rPr>
              <w:t>2.应聘一级职员的局属各单位员工，应在局属各单位本部一级职员及以上岗位任职2年及以上（2020年机构改革前在各单位本部任职时间可纳入计算）或在各子分公司所属基层单位内设机构负责人及以上岗位任职2年及以上。</w:t>
            </w:r>
          </w:p>
        </w:tc>
        <w:tc>
          <w:tcPr>
            <w:tcW w:w="992" w:type="dxa"/>
            <w:vAlign w:val="center"/>
          </w:tcPr>
          <w:p>
            <w:pPr>
              <w:spacing w:line="560" w:lineRule="exact"/>
              <w:jc w:val="center"/>
              <w:rPr>
                <w:rFonts w:ascii="华文仿宋" w:hAnsi="华文仿宋" w:eastAsia="华文仿宋"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560" w:lineRule="exact"/>
              <w:jc w:val="center"/>
              <w:rPr>
                <w:rFonts w:ascii="华文仿宋" w:hAnsi="华文仿宋" w:eastAsia="华文仿宋" w:cs="Times New Roman"/>
                <w:sz w:val="28"/>
                <w:szCs w:val="28"/>
              </w:rPr>
            </w:pPr>
            <w:r>
              <w:rPr>
                <w:rFonts w:hint="eastAsia" w:ascii="华文仿宋" w:hAnsi="华文仿宋" w:eastAsia="华文仿宋" w:cs="Times New Roman"/>
                <w:sz w:val="28"/>
                <w:szCs w:val="28"/>
              </w:rPr>
              <w:t>3</w:t>
            </w:r>
          </w:p>
        </w:tc>
        <w:tc>
          <w:tcPr>
            <w:tcW w:w="1560" w:type="dxa"/>
            <w:vAlign w:val="center"/>
          </w:tcPr>
          <w:p>
            <w:pPr>
              <w:spacing w:line="560" w:lineRule="exact"/>
              <w:jc w:val="center"/>
              <w:rPr>
                <w:rFonts w:ascii="华文仿宋" w:hAnsi="华文仿宋" w:eastAsia="华文仿宋" w:cs="Times New Roman"/>
                <w:sz w:val="28"/>
                <w:szCs w:val="28"/>
              </w:rPr>
            </w:pPr>
            <w:r>
              <w:rPr>
                <w:rFonts w:ascii="华文仿宋" w:hAnsi="华文仿宋" w:eastAsia="华文仿宋" w:cs="Times New Roman"/>
                <w:sz w:val="28"/>
                <w:szCs w:val="28"/>
              </w:rPr>
              <w:t>二级职员</w:t>
            </w:r>
          </w:p>
        </w:tc>
        <w:tc>
          <w:tcPr>
            <w:tcW w:w="5670" w:type="dxa"/>
            <w:vAlign w:val="center"/>
          </w:tcPr>
          <w:p>
            <w:pPr>
              <w:pStyle w:val="10"/>
              <w:spacing w:line="560" w:lineRule="exact"/>
              <w:jc w:val="both"/>
              <w:rPr>
                <w:rFonts w:ascii="华文仿宋" w:hAnsi="华文仿宋" w:eastAsia="华文仿宋" w:cs="仿宋_GB2312"/>
                <w:color w:val="auto"/>
                <w:sz w:val="28"/>
                <w:szCs w:val="28"/>
              </w:rPr>
            </w:pPr>
            <w:r>
              <w:rPr>
                <w:rFonts w:hint="eastAsia" w:ascii="华文仿宋" w:hAnsi="华文仿宋" w:eastAsia="华文仿宋" w:cs="仿宋_GB2312"/>
                <w:color w:val="auto"/>
                <w:sz w:val="28"/>
                <w:szCs w:val="28"/>
              </w:rPr>
              <w:t>1.</w:t>
            </w:r>
            <w:r>
              <w:rPr>
                <w:rFonts w:ascii="华文仿宋" w:hAnsi="华文仿宋" w:eastAsia="华文仿宋" w:cs="仿宋_GB2312"/>
                <w:color w:val="auto"/>
                <w:sz w:val="28"/>
                <w:szCs w:val="28"/>
              </w:rPr>
              <w:t>应聘二级职员岗位的局总部员工，须在局总部三级职员岗位任职</w:t>
            </w:r>
            <w:r>
              <w:rPr>
                <w:rFonts w:hint="eastAsia" w:ascii="华文仿宋" w:hAnsi="华文仿宋" w:eastAsia="华文仿宋" w:cs="仿宋_GB2312"/>
                <w:color w:val="auto"/>
                <w:sz w:val="28"/>
                <w:szCs w:val="28"/>
              </w:rPr>
              <w:t>2年及以上（2020年局总部机构改革前任职时间可纳入计算）；</w:t>
            </w:r>
          </w:p>
          <w:p>
            <w:pPr>
              <w:pStyle w:val="10"/>
              <w:spacing w:line="560" w:lineRule="exact"/>
              <w:jc w:val="both"/>
              <w:rPr>
                <w:rFonts w:ascii="华文仿宋" w:hAnsi="华文仿宋" w:eastAsia="华文仿宋" w:cs="Times New Roman"/>
                <w:sz w:val="28"/>
                <w:szCs w:val="28"/>
              </w:rPr>
            </w:pPr>
            <w:r>
              <w:rPr>
                <w:rFonts w:hint="eastAsia" w:ascii="华文仿宋" w:hAnsi="华文仿宋" w:eastAsia="华文仿宋" w:cs="仿宋_GB2312"/>
                <w:color w:val="auto"/>
                <w:sz w:val="28"/>
                <w:szCs w:val="28"/>
              </w:rPr>
              <w:t>2.应聘二级职员岗位的局属各单位员工，须在局属各单位本部二级职员及以上岗位任职2年及以上（2020年机构改革前在各单位本部任职时间可纳入计算）或在子分公司所属基层单位内设机构负责人及以上岗位任职2年及以上。</w:t>
            </w:r>
          </w:p>
        </w:tc>
        <w:tc>
          <w:tcPr>
            <w:tcW w:w="992" w:type="dxa"/>
            <w:vAlign w:val="center"/>
          </w:tcPr>
          <w:p>
            <w:pPr>
              <w:spacing w:line="560" w:lineRule="exact"/>
              <w:jc w:val="center"/>
              <w:rPr>
                <w:rFonts w:ascii="华文仿宋" w:hAnsi="华文仿宋" w:eastAsia="华文仿宋" w:cs="Times New Roman"/>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vAlign w:val="center"/>
          </w:tcPr>
          <w:p>
            <w:pPr>
              <w:spacing w:line="560" w:lineRule="exact"/>
              <w:jc w:val="center"/>
              <w:rPr>
                <w:rFonts w:ascii="华文仿宋" w:hAnsi="华文仿宋" w:eastAsia="华文仿宋" w:cs="Times New Roman"/>
                <w:sz w:val="28"/>
                <w:szCs w:val="28"/>
              </w:rPr>
            </w:pPr>
            <w:r>
              <w:rPr>
                <w:rFonts w:hint="eastAsia" w:ascii="华文仿宋" w:hAnsi="华文仿宋" w:eastAsia="华文仿宋" w:cs="Times New Roman"/>
                <w:sz w:val="28"/>
                <w:szCs w:val="28"/>
              </w:rPr>
              <w:t>4</w:t>
            </w:r>
          </w:p>
        </w:tc>
        <w:tc>
          <w:tcPr>
            <w:tcW w:w="1560" w:type="dxa"/>
            <w:vAlign w:val="center"/>
          </w:tcPr>
          <w:p>
            <w:pPr>
              <w:spacing w:line="560" w:lineRule="exact"/>
              <w:jc w:val="center"/>
              <w:rPr>
                <w:rFonts w:ascii="华文仿宋" w:hAnsi="华文仿宋" w:eastAsia="华文仿宋" w:cs="Times New Roman"/>
                <w:sz w:val="28"/>
                <w:szCs w:val="28"/>
              </w:rPr>
            </w:pPr>
            <w:r>
              <w:rPr>
                <w:rFonts w:ascii="华文仿宋" w:hAnsi="华文仿宋" w:eastAsia="华文仿宋" w:cs="Times New Roman"/>
                <w:sz w:val="28"/>
                <w:szCs w:val="28"/>
              </w:rPr>
              <w:t>三级职员</w:t>
            </w:r>
          </w:p>
        </w:tc>
        <w:tc>
          <w:tcPr>
            <w:tcW w:w="5670" w:type="dxa"/>
            <w:vAlign w:val="center"/>
          </w:tcPr>
          <w:p>
            <w:pPr>
              <w:pStyle w:val="10"/>
              <w:spacing w:line="560" w:lineRule="exact"/>
              <w:jc w:val="both"/>
              <w:rPr>
                <w:rFonts w:ascii="华文仿宋" w:hAnsi="华文仿宋" w:eastAsia="华文仿宋" w:cs="仿宋_GB2312"/>
                <w:color w:val="auto"/>
                <w:sz w:val="28"/>
                <w:szCs w:val="28"/>
              </w:rPr>
            </w:pPr>
            <w:r>
              <w:rPr>
                <w:rFonts w:hint="eastAsia" w:ascii="华文仿宋" w:hAnsi="华文仿宋" w:eastAsia="华文仿宋" w:cs="仿宋_GB2312"/>
                <w:color w:val="auto"/>
                <w:sz w:val="28"/>
                <w:szCs w:val="28"/>
              </w:rPr>
              <w:t>1.</w:t>
            </w:r>
            <w:r>
              <w:rPr>
                <w:rFonts w:ascii="华文仿宋" w:hAnsi="华文仿宋" w:eastAsia="华文仿宋" w:cs="仿宋_GB2312"/>
                <w:color w:val="auto"/>
                <w:sz w:val="28"/>
                <w:szCs w:val="28"/>
              </w:rPr>
              <w:t>应聘三级职员岗位的局总部员工，须在局总部四级职员岗位任职</w:t>
            </w:r>
            <w:r>
              <w:rPr>
                <w:rFonts w:hint="eastAsia" w:ascii="华文仿宋" w:hAnsi="华文仿宋" w:eastAsia="华文仿宋" w:cs="仿宋_GB2312"/>
                <w:color w:val="auto"/>
                <w:sz w:val="28"/>
                <w:szCs w:val="28"/>
              </w:rPr>
              <w:t>2年及以上（2020年局总部机构改革前任职时间可纳入计算）；</w:t>
            </w:r>
          </w:p>
          <w:p>
            <w:pPr>
              <w:pStyle w:val="10"/>
              <w:spacing w:line="560" w:lineRule="exact"/>
              <w:jc w:val="both"/>
              <w:rPr>
                <w:rFonts w:ascii="华文仿宋" w:hAnsi="华文仿宋" w:eastAsia="华文仿宋" w:cs="Times New Roman"/>
                <w:sz w:val="28"/>
                <w:szCs w:val="28"/>
              </w:rPr>
            </w:pPr>
            <w:r>
              <w:rPr>
                <w:rFonts w:hint="eastAsia" w:ascii="华文仿宋" w:hAnsi="华文仿宋" w:eastAsia="华文仿宋" w:cs="仿宋_GB2312"/>
                <w:color w:val="auto"/>
                <w:sz w:val="28"/>
                <w:szCs w:val="28"/>
              </w:rPr>
              <w:t>2.应聘三级职员岗位的局属各单位员工，须在局属各单位本部三级职员及以上岗位任职2年及以上或在子分公司所属基层单位内设机构负责人及以上岗位任职2年及以上。</w:t>
            </w:r>
          </w:p>
        </w:tc>
        <w:tc>
          <w:tcPr>
            <w:tcW w:w="992" w:type="dxa"/>
            <w:vAlign w:val="center"/>
          </w:tcPr>
          <w:p>
            <w:pPr>
              <w:spacing w:line="560" w:lineRule="exact"/>
              <w:jc w:val="center"/>
              <w:rPr>
                <w:rFonts w:ascii="华文仿宋" w:hAnsi="华文仿宋" w:eastAsia="华文仿宋" w:cs="Times New Roman"/>
                <w:sz w:val="28"/>
                <w:szCs w:val="28"/>
              </w:rPr>
            </w:pPr>
          </w:p>
        </w:tc>
      </w:tr>
    </w:tbl>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spacing w:line="560" w:lineRule="exact"/>
        <w:rPr>
          <w:rFonts w:ascii="Times New Roman" w:hAnsi="Times New Roman" w:eastAsia="仿宋_GB2312" w:cs="Times New Roman"/>
          <w:sz w:val="32"/>
          <w:szCs w:val="32"/>
        </w:rPr>
      </w:pPr>
    </w:p>
    <w:p>
      <w:pPr>
        <w:pStyle w:val="10"/>
        <w:spacing w:line="560" w:lineRule="exact"/>
        <w:jc w:val="both"/>
        <w:rPr>
          <w:rFonts w:ascii="仿宋_GB2312" w:eastAsia="仿宋_GB2312" w:cs="仿宋_GB2312"/>
          <w:color w:val="auto"/>
          <w:sz w:val="32"/>
          <w:szCs w:val="32"/>
        </w:rPr>
      </w:pPr>
      <w:bookmarkStart w:id="0" w:name="_GoBack"/>
      <w:bookmarkEnd w:id="0"/>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24037"/>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9153B"/>
    <w:rsid w:val="00006C96"/>
    <w:rsid w:val="00010BDB"/>
    <w:rsid w:val="000134FD"/>
    <w:rsid w:val="00026471"/>
    <w:rsid w:val="0004756A"/>
    <w:rsid w:val="00056B28"/>
    <w:rsid w:val="000577F4"/>
    <w:rsid w:val="00075B0D"/>
    <w:rsid w:val="00075E7C"/>
    <w:rsid w:val="00084B86"/>
    <w:rsid w:val="00087B0F"/>
    <w:rsid w:val="000906CA"/>
    <w:rsid w:val="000918F2"/>
    <w:rsid w:val="000B1EBB"/>
    <w:rsid w:val="000B7313"/>
    <w:rsid w:val="000F79E9"/>
    <w:rsid w:val="00100340"/>
    <w:rsid w:val="00110AEA"/>
    <w:rsid w:val="00134FDF"/>
    <w:rsid w:val="00147A16"/>
    <w:rsid w:val="00160007"/>
    <w:rsid w:val="00162288"/>
    <w:rsid w:val="001813F3"/>
    <w:rsid w:val="001871D8"/>
    <w:rsid w:val="00192208"/>
    <w:rsid w:val="001A2312"/>
    <w:rsid w:val="001A3511"/>
    <w:rsid w:val="001B097E"/>
    <w:rsid w:val="001B404B"/>
    <w:rsid w:val="001D28E1"/>
    <w:rsid w:val="001D757B"/>
    <w:rsid w:val="001E78EB"/>
    <w:rsid w:val="001F22A5"/>
    <w:rsid w:val="001F47A6"/>
    <w:rsid w:val="00215132"/>
    <w:rsid w:val="0022470C"/>
    <w:rsid w:val="002342AB"/>
    <w:rsid w:val="00240EFB"/>
    <w:rsid w:val="00243AF5"/>
    <w:rsid w:val="00251ABF"/>
    <w:rsid w:val="0025386F"/>
    <w:rsid w:val="002556DD"/>
    <w:rsid w:val="00255BEC"/>
    <w:rsid w:val="0027236B"/>
    <w:rsid w:val="002841A6"/>
    <w:rsid w:val="002A1A35"/>
    <w:rsid w:val="002A6F5C"/>
    <w:rsid w:val="002C09AF"/>
    <w:rsid w:val="002C30AA"/>
    <w:rsid w:val="002C6D4B"/>
    <w:rsid w:val="002E3E44"/>
    <w:rsid w:val="003000EE"/>
    <w:rsid w:val="00300E56"/>
    <w:rsid w:val="00304C01"/>
    <w:rsid w:val="003109A2"/>
    <w:rsid w:val="00325033"/>
    <w:rsid w:val="00340669"/>
    <w:rsid w:val="00352875"/>
    <w:rsid w:val="003823E3"/>
    <w:rsid w:val="00382DDE"/>
    <w:rsid w:val="003837CF"/>
    <w:rsid w:val="00396F19"/>
    <w:rsid w:val="003A3A94"/>
    <w:rsid w:val="003A6640"/>
    <w:rsid w:val="003A75BD"/>
    <w:rsid w:val="003C002C"/>
    <w:rsid w:val="003C0868"/>
    <w:rsid w:val="003C0FC5"/>
    <w:rsid w:val="003E5472"/>
    <w:rsid w:val="003E5E55"/>
    <w:rsid w:val="003F3BF1"/>
    <w:rsid w:val="00404158"/>
    <w:rsid w:val="004119C6"/>
    <w:rsid w:val="00411ED5"/>
    <w:rsid w:val="00413823"/>
    <w:rsid w:val="00417B5B"/>
    <w:rsid w:val="004215B2"/>
    <w:rsid w:val="00423A84"/>
    <w:rsid w:val="00456AEC"/>
    <w:rsid w:val="004573FE"/>
    <w:rsid w:val="004627F2"/>
    <w:rsid w:val="004722FA"/>
    <w:rsid w:val="00472993"/>
    <w:rsid w:val="00480A18"/>
    <w:rsid w:val="00486FC5"/>
    <w:rsid w:val="0048715C"/>
    <w:rsid w:val="004950A5"/>
    <w:rsid w:val="0049649B"/>
    <w:rsid w:val="004A186E"/>
    <w:rsid w:val="004A35CC"/>
    <w:rsid w:val="004A52E1"/>
    <w:rsid w:val="004A6368"/>
    <w:rsid w:val="004B1638"/>
    <w:rsid w:val="004C6623"/>
    <w:rsid w:val="004E1F43"/>
    <w:rsid w:val="004E3D30"/>
    <w:rsid w:val="004E3DDC"/>
    <w:rsid w:val="004E4A82"/>
    <w:rsid w:val="004F04A8"/>
    <w:rsid w:val="004F2827"/>
    <w:rsid w:val="00513166"/>
    <w:rsid w:val="00514DD9"/>
    <w:rsid w:val="00534863"/>
    <w:rsid w:val="005350BE"/>
    <w:rsid w:val="00560307"/>
    <w:rsid w:val="005654E9"/>
    <w:rsid w:val="00585DAD"/>
    <w:rsid w:val="005922F6"/>
    <w:rsid w:val="0059286A"/>
    <w:rsid w:val="00593AD2"/>
    <w:rsid w:val="005A2577"/>
    <w:rsid w:val="005A5654"/>
    <w:rsid w:val="005B60A0"/>
    <w:rsid w:val="005C12F1"/>
    <w:rsid w:val="005C33D9"/>
    <w:rsid w:val="005D04B9"/>
    <w:rsid w:val="005F1582"/>
    <w:rsid w:val="0060052C"/>
    <w:rsid w:val="006015BB"/>
    <w:rsid w:val="00607AA6"/>
    <w:rsid w:val="0062242B"/>
    <w:rsid w:val="00624722"/>
    <w:rsid w:val="006548FF"/>
    <w:rsid w:val="00661A69"/>
    <w:rsid w:val="006750FF"/>
    <w:rsid w:val="00675252"/>
    <w:rsid w:val="00680579"/>
    <w:rsid w:val="00695F0B"/>
    <w:rsid w:val="006A5965"/>
    <w:rsid w:val="006C0324"/>
    <w:rsid w:val="006D454F"/>
    <w:rsid w:val="006E0B9F"/>
    <w:rsid w:val="006E0EEE"/>
    <w:rsid w:val="006E3584"/>
    <w:rsid w:val="006E48F6"/>
    <w:rsid w:val="006E6500"/>
    <w:rsid w:val="006E7E0F"/>
    <w:rsid w:val="006F04F4"/>
    <w:rsid w:val="00703316"/>
    <w:rsid w:val="00705E2A"/>
    <w:rsid w:val="007102EC"/>
    <w:rsid w:val="00721B75"/>
    <w:rsid w:val="00736683"/>
    <w:rsid w:val="00737907"/>
    <w:rsid w:val="007418A4"/>
    <w:rsid w:val="00742590"/>
    <w:rsid w:val="00781887"/>
    <w:rsid w:val="00792361"/>
    <w:rsid w:val="007A13CA"/>
    <w:rsid w:val="007B4A88"/>
    <w:rsid w:val="00801861"/>
    <w:rsid w:val="008069E6"/>
    <w:rsid w:val="00813FC2"/>
    <w:rsid w:val="0082524D"/>
    <w:rsid w:val="00825D81"/>
    <w:rsid w:val="00842B62"/>
    <w:rsid w:val="008436C4"/>
    <w:rsid w:val="008627B0"/>
    <w:rsid w:val="008671D2"/>
    <w:rsid w:val="008778DC"/>
    <w:rsid w:val="00884866"/>
    <w:rsid w:val="00886D58"/>
    <w:rsid w:val="00894412"/>
    <w:rsid w:val="008952DD"/>
    <w:rsid w:val="008B0E92"/>
    <w:rsid w:val="008B312D"/>
    <w:rsid w:val="008B6627"/>
    <w:rsid w:val="008F2C1C"/>
    <w:rsid w:val="008F2F60"/>
    <w:rsid w:val="008F3CC3"/>
    <w:rsid w:val="00913F35"/>
    <w:rsid w:val="00915C68"/>
    <w:rsid w:val="009306F2"/>
    <w:rsid w:val="00943144"/>
    <w:rsid w:val="00954FDB"/>
    <w:rsid w:val="00956318"/>
    <w:rsid w:val="00982FA5"/>
    <w:rsid w:val="00984D7A"/>
    <w:rsid w:val="00995994"/>
    <w:rsid w:val="009B087A"/>
    <w:rsid w:val="009B08B0"/>
    <w:rsid w:val="009B4509"/>
    <w:rsid w:val="009B6CC2"/>
    <w:rsid w:val="009C10AF"/>
    <w:rsid w:val="009E7FFD"/>
    <w:rsid w:val="009F0F74"/>
    <w:rsid w:val="009F126E"/>
    <w:rsid w:val="00A0675C"/>
    <w:rsid w:val="00A354D7"/>
    <w:rsid w:val="00A64575"/>
    <w:rsid w:val="00A85296"/>
    <w:rsid w:val="00A87E52"/>
    <w:rsid w:val="00AB2913"/>
    <w:rsid w:val="00AD06BC"/>
    <w:rsid w:val="00AD2938"/>
    <w:rsid w:val="00AE0FD5"/>
    <w:rsid w:val="00B01032"/>
    <w:rsid w:val="00B01356"/>
    <w:rsid w:val="00B05043"/>
    <w:rsid w:val="00B17567"/>
    <w:rsid w:val="00B23153"/>
    <w:rsid w:val="00B33A73"/>
    <w:rsid w:val="00B41289"/>
    <w:rsid w:val="00B60030"/>
    <w:rsid w:val="00B628DF"/>
    <w:rsid w:val="00B6322B"/>
    <w:rsid w:val="00B66D25"/>
    <w:rsid w:val="00B66F87"/>
    <w:rsid w:val="00B75A77"/>
    <w:rsid w:val="00B91758"/>
    <w:rsid w:val="00B91E26"/>
    <w:rsid w:val="00B9249D"/>
    <w:rsid w:val="00BA5CA1"/>
    <w:rsid w:val="00BC4006"/>
    <w:rsid w:val="00BC641E"/>
    <w:rsid w:val="00BF35C7"/>
    <w:rsid w:val="00C04E17"/>
    <w:rsid w:val="00C068B4"/>
    <w:rsid w:val="00C10CFD"/>
    <w:rsid w:val="00C178BE"/>
    <w:rsid w:val="00C462B1"/>
    <w:rsid w:val="00C55A5F"/>
    <w:rsid w:val="00C6324A"/>
    <w:rsid w:val="00C6346F"/>
    <w:rsid w:val="00C83AC6"/>
    <w:rsid w:val="00C976FD"/>
    <w:rsid w:val="00CC2B1D"/>
    <w:rsid w:val="00CC2BD7"/>
    <w:rsid w:val="00CC7FF9"/>
    <w:rsid w:val="00CE01E1"/>
    <w:rsid w:val="00CE1426"/>
    <w:rsid w:val="00D06A86"/>
    <w:rsid w:val="00D11F79"/>
    <w:rsid w:val="00D24011"/>
    <w:rsid w:val="00D25903"/>
    <w:rsid w:val="00D32550"/>
    <w:rsid w:val="00D3544F"/>
    <w:rsid w:val="00D45E23"/>
    <w:rsid w:val="00D50AF1"/>
    <w:rsid w:val="00D658D5"/>
    <w:rsid w:val="00D65912"/>
    <w:rsid w:val="00D71288"/>
    <w:rsid w:val="00D9153B"/>
    <w:rsid w:val="00D96B85"/>
    <w:rsid w:val="00DA6F53"/>
    <w:rsid w:val="00DA740A"/>
    <w:rsid w:val="00DB6179"/>
    <w:rsid w:val="00DB6728"/>
    <w:rsid w:val="00DC0A2D"/>
    <w:rsid w:val="00DC6AD0"/>
    <w:rsid w:val="00DE041D"/>
    <w:rsid w:val="00DE05EF"/>
    <w:rsid w:val="00DE35C5"/>
    <w:rsid w:val="00E13E92"/>
    <w:rsid w:val="00E16705"/>
    <w:rsid w:val="00E2155A"/>
    <w:rsid w:val="00E22063"/>
    <w:rsid w:val="00E30AF7"/>
    <w:rsid w:val="00E35983"/>
    <w:rsid w:val="00E46A25"/>
    <w:rsid w:val="00E524ED"/>
    <w:rsid w:val="00E729C8"/>
    <w:rsid w:val="00E72ACF"/>
    <w:rsid w:val="00E76E72"/>
    <w:rsid w:val="00E8213F"/>
    <w:rsid w:val="00E87737"/>
    <w:rsid w:val="00E904D2"/>
    <w:rsid w:val="00EA392C"/>
    <w:rsid w:val="00EA681F"/>
    <w:rsid w:val="00EB40E6"/>
    <w:rsid w:val="00EC014F"/>
    <w:rsid w:val="00EC157B"/>
    <w:rsid w:val="00ED0348"/>
    <w:rsid w:val="00ED7D93"/>
    <w:rsid w:val="00EE228C"/>
    <w:rsid w:val="00EE3CEC"/>
    <w:rsid w:val="00EF1EA4"/>
    <w:rsid w:val="00EF6E75"/>
    <w:rsid w:val="00F0430A"/>
    <w:rsid w:val="00F0508F"/>
    <w:rsid w:val="00F13F48"/>
    <w:rsid w:val="00F167C4"/>
    <w:rsid w:val="00F25192"/>
    <w:rsid w:val="00F33C4A"/>
    <w:rsid w:val="00F45FDD"/>
    <w:rsid w:val="00F54A05"/>
    <w:rsid w:val="00F54A1F"/>
    <w:rsid w:val="00F6373B"/>
    <w:rsid w:val="00F7417F"/>
    <w:rsid w:val="00F76274"/>
    <w:rsid w:val="00F85B16"/>
    <w:rsid w:val="00F948AC"/>
    <w:rsid w:val="00FB5274"/>
    <w:rsid w:val="00FD7940"/>
    <w:rsid w:val="0E8743FE"/>
    <w:rsid w:val="1C767636"/>
    <w:rsid w:val="1EFC59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uiPriority w:val="99"/>
    <w:pPr>
      <w:ind w:left="100" w:leftChars="2500"/>
    </w:pPr>
  </w:style>
  <w:style w:type="paragraph" w:styleId="3">
    <w:name w:val="Balloon Text"/>
    <w:basedOn w:val="1"/>
    <w:link w:val="15"/>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rPr>
  </w:style>
  <w:style w:type="paragraph" w:customStyle="1" w:styleId="10">
    <w:name w:val="Defaul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1">
    <w:name w:val="页眉 Char"/>
    <w:basedOn w:val="8"/>
    <w:link w:val="5"/>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日期 Char"/>
    <w:basedOn w:val="8"/>
    <w:link w:val="2"/>
    <w:semiHidden/>
    <w:uiPriority w:val="99"/>
  </w:style>
  <w:style w:type="paragraph" w:customStyle="1" w:styleId="14">
    <w:name w:val="列出段落1"/>
    <w:basedOn w:val="1"/>
    <w:qFormat/>
    <w:uiPriority w:val="0"/>
    <w:pPr>
      <w:ind w:firstLine="420" w:firstLineChars="200"/>
    </w:pPr>
    <w:rPr>
      <w:rFonts w:ascii="Calibri" w:hAnsi="Calibri" w:eastAsia="宋体"/>
    </w:rPr>
  </w:style>
  <w:style w:type="character" w:customStyle="1" w:styleId="15">
    <w:name w:val="批注框文本 Char"/>
    <w:basedOn w:val="8"/>
    <w:link w:val="3"/>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中国中铁</Company>
  <Pages>7</Pages>
  <Words>398</Words>
  <Characters>2269</Characters>
  <Lines>18</Lines>
  <Paragraphs>5</Paragraphs>
  <TotalTime>189</TotalTime>
  <ScaleCrop>false</ScaleCrop>
  <LinksUpToDate>false</LinksUpToDate>
  <CharactersWithSpaces>2662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2020-10-12T03:00:00Z</dcterms:created>
  <dc:creator>张丁丁</dc:creator>
  <cp:lastModifiedBy>靳安秦</cp:lastModifiedBy>
  <cp:lastPrinted>2021-06-02T08:29:00Z</cp:lastPrinted>
  <dcterms:modified xsi:type="dcterms:W3CDTF">2021-06-03T07:45:49Z</dcterms:modified>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12FF5C3301B3484AB4550551E666429A</vt:lpwstr>
  </property>
</Properties>
</file>